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imes New Roman" w:hAnsi="Times New Roman" w:cs="Times New Roman"/>
          <w:i/>
          <w:sz w:val="26"/>
          <w:szCs w:val="26"/>
        </w:rPr>
      </w:pPr>
      <w:bookmarkStart w:id="0" w:name="_GoBack"/>
      <w:bookmarkEnd w:id="0"/>
      <w:r>
        <w:rPr>
          <w:rFonts w:ascii="Times New Roman" w:hAnsi="Times New Roman" w:cs="Times New Roman"/>
          <w:i/>
          <w:sz w:val="26"/>
          <w:szCs w:val="26"/>
        </w:rPr>
        <w:t>Додаток 1</w:t>
      </w:r>
    </w:p>
    <w:p>
      <w:pPr>
        <w:spacing w:after="0"/>
        <w:jc w:val="right"/>
        <w:rPr>
          <w:rFonts w:ascii="Times New Roman" w:hAnsi="Times New Roman" w:cs="Times New Roman"/>
          <w:i/>
          <w:sz w:val="26"/>
          <w:szCs w:val="26"/>
        </w:rPr>
      </w:pPr>
      <w:r>
        <w:rPr>
          <w:rFonts w:ascii="Times New Roman" w:hAnsi="Times New Roman" w:cs="Times New Roman"/>
          <w:i/>
          <w:sz w:val="26"/>
          <w:szCs w:val="26"/>
        </w:rPr>
        <w:t>до тендерної документації</w:t>
      </w:r>
    </w:p>
    <w:p>
      <w:pPr>
        <w:spacing w:after="0"/>
        <w:jc w:val="cente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Інформація та документи, що підтверджують відповідність учасника </w:t>
      </w:r>
    </w:p>
    <w:p>
      <w:pPr>
        <w:spacing w:after="0"/>
        <w:jc w:val="center"/>
        <w:rPr>
          <w:rFonts w:ascii="Times New Roman" w:hAnsi="Times New Roman" w:cs="Times New Roman"/>
          <w:b/>
          <w:sz w:val="26"/>
          <w:szCs w:val="26"/>
        </w:rPr>
      </w:pPr>
      <w:r>
        <w:rPr>
          <w:rFonts w:ascii="Times New Roman" w:hAnsi="Times New Roman" w:cs="Times New Roman"/>
          <w:b/>
          <w:sz w:val="26"/>
          <w:szCs w:val="26"/>
        </w:rPr>
        <w:t>кваліфікаційним критеріям</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pPr>
        <w:spacing w:after="0"/>
        <w:rPr>
          <w:rFonts w:ascii="Times New Roman" w:hAnsi="Times New Roman" w:cs="Times New Roman"/>
          <w:sz w:val="26"/>
          <w:szCs w:val="26"/>
        </w:rPr>
      </w:pPr>
    </w:p>
    <w:tbl>
      <w:tblPr>
        <w:tblStyle w:val="3"/>
        <w:tblW w:w="0" w:type="auto"/>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
        <w:gridCol w:w="2895"/>
        <w:gridCol w:w="633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w:t>
            </w:r>
          </w:p>
          <w:p>
            <w:pPr>
              <w:spacing w:after="0"/>
              <w:rPr>
                <w:rFonts w:ascii="Times New Roman" w:hAnsi="Times New Roman" w:cs="Times New Roman"/>
                <w:sz w:val="26"/>
                <w:szCs w:val="26"/>
              </w:rPr>
            </w:pPr>
            <w:r>
              <w:rPr>
                <w:rFonts w:ascii="Times New Roman" w:hAnsi="Times New Roman" w:cs="Times New Roman"/>
                <w:sz w:val="26"/>
                <w:szCs w:val="26"/>
              </w:rPr>
              <w:t>п/п</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Кваліфікаційний критерій</w:t>
            </w:r>
          </w:p>
        </w:tc>
        <w:tc>
          <w:tcPr>
            <w:tcW w:w="6516"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Перелік документів, що підтверджують інформацію про відповідність учасників таким критеріям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9" w:hRule="atLeast"/>
        </w:trPr>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1</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Наявність документально підтвердженого досвіду виконання аналогічного договору.</w:t>
            </w:r>
          </w:p>
        </w:tc>
        <w:tc>
          <w:tcPr>
            <w:tcW w:w="6516" w:type="dxa"/>
            <w:tcMar>
              <w:top w:w="75" w:type="dxa"/>
              <w:left w:w="75" w:type="dxa"/>
              <w:bottom w:w="75" w:type="dxa"/>
              <w:right w:w="75" w:type="dxa"/>
            </w:tcMar>
            <w:vAlign w:val="center"/>
          </w:tcPr>
          <w:p>
            <w:pPr>
              <w:spacing w:after="0"/>
              <w:jc w:val="both"/>
              <w:rPr>
                <w:rFonts w:ascii="Times New Roman" w:hAnsi="Times New Roman" w:cs="Times New Roman"/>
                <w:sz w:val="26"/>
                <w:szCs w:val="26"/>
              </w:rPr>
            </w:pPr>
            <w:r>
              <w:rPr>
                <w:rFonts w:ascii="Times New Roman" w:hAnsi="Times New Roman" w:cs="Times New Roman"/>
                <w:sz w:val="26"/>
                <w:szCs w:val="26"/>
              </w:rPr>
              <w:t>Довідка у довільній формі, складена учасником торгів, що містить інформацію про виконання аналогічного(их)**, раніше укладеного(их), договору(ів) (крім відомостей, що становлять комерційну таємницю) із зазначенням:</w:t>
            </w:r>
          </w:p>
          <w:p>
            <w:pPr>
              <w:spacing w:after="0"/>
              <w:jc w:val="both"/>
              <w:rPr>
                <w:rFonts w:ascii="Times New Roman" w:hAnsi="Times New Roman" w:cs="Times New Roman"/>
                <w:sz w:val="26"/>
                <w:szCs w:val="26"/>
              </w:rPr>
            </w:pPr>
            <w:r>
              <w:rPr>
                <w:rFonts w:ascii="Times New Roman" w:hAnsi="Times New Roman" w:cs="Times New Roman"/>
                <w:sz w:val="26"/>
                <w:szCs w:val="26"/>
              </w:rPr>
              <w:t>найменування контрагента,</w:t>
            </w:r>
          </w:p>
          <w:p>
            <w:pPr>
              <w:spacing w:after="0"/>
              <w:jc w:val="both"/>
              <w:rPr>
                <w:rFonts w:ascii="Times New Roman" w:hAnsi="Times New Roman" w:cs="Times New Roman"/>
                <w:sz w:val="26"/>
                <w:szCs w:val="26"/>
              </w:rPr>
            </w:pPr>
            <w:r>
              <w:rPr>
                <w:rFonts w:ascii="Times New Roman" w:hAnsi="Times New Roman" w:cs="Times New Roman"/>
                <w:sz w:val="26"/>
                <w:szCs w:val="26"/>
              </w:rPr>
              <w:t>предмету договору,</w:t>
            </w:r>
          </w:p>
          <w:p>
            <w:pPr>
              <w:spacing w:after="0"/>
              <w:jc w:val="both"/>
              <w:rPr>
                <w:rFonts w:ascii="Times New Roman" w:hAnsi="Times New Roman" w:cs="Times New Roman"/>
                <w:sz w:val="26"/>
                <w:szCs w:val="26"/>
              </w:rPr>
            </w:pPr>
            <w:r>
              <w:rPr>
                <w:rFonts w:ascii="Times New Roman" w:hAnsi="Times New Roman" w:cs="Times New Roman"/>
                <w:sz w:val="26"/>
                <w:szCs w:val="26"/>
              </w:rPr>
              <w:t>контактних осіб замовників (прізвище та контактний телефон);</w:t>
            </w:r>
          </w:p>
          <w:p>
            <w:pPr>
              <w:spacing w:after="0"/>
              <w:jc w:val="both"/>
              <w:rPr>
                <w:rFonts w:ascii="Times New Roman" w:hAnsi="Times New Roman" w:cs="Times New Roman"/>
                <w:sz w:val="26"/>
                <w:szCs w:val="26"/>
              </w:rPr>
            </w:pPr>
            <w:r>
              <w:rPr>
                <w:rFonts w:ascii="Times New Roman" w:hAnsi="Times New Roman" w:cs="Times New Roman"/>
                <w:sz w:val="26"/>
                <w:szCs w:val="26"/>
              </w:rPr>
              <w:t>стан виконання договору (виконаний/частково виконаний договір).</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**Під аналогічним(ми) договором(ами) слід розуміти виконаний(і)/частково виконаний(і) договір(ори), за кодом ДК до закупівлі</w:t>
            </w:r>
          </w:p>
        </w:tc>
      </w:tr>
    </w:tbl>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Приклад довідки, що містить інформацію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right"/>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Зразок 1                   </w:t>
      </w:r>
    </w:p>
    <w:p>
      <w:pPr>
        <w:spacing w:after="0"/>
        <w:jc w:val="right"/>
        <w:rPr>
          <w:rFonts w:ascii="Times New Roman" w:hAnsi="Times New Roman" w:cs="Times New Roman"/>
          <w:sz w:val="26"/>
          <w:szCs w:val="26"/>
        </w:rPr>
      </w:pPr>
      <w:r>
        <w:rPr>
          <w:rFonts w:ascii="Times New Roman" w:hAnsi="Times New Roman" w:cs="Times New Roman"/>
          <w:sz w:val="26"/>
          <w:szCs w:val="26"/>
        </w:rPr>
        <w:t xml:space="preserve">                                                                                             Уповноваженій особі </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ДОВІДКА</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(Назва учасника),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875"/>
        <w:gridCol w:w="2401"/>
        <w:gridCol w:w="196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Найменування контрагента</w:t>
            </w:r>
          </w:p>
        </w:tc>
        <w:tc>
          <w:tcPr>
            <w:tcW w:w="1875"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Предмет договору</w:t>
            </w:r>
          </w:p>
        </w:tc>
        <w:tc>
          <w:tcPr>
            <w:tcW w:w="2401"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Стан виконання договору</w:t>
            </w:r>
          </w:p>
          <w:p>
            <w:pPr>
              <w:spacing w:after="0"/>
              <w:rPr>
                <w:rFonts w:ascii="Times New Roman" w:hAnsi="Times New Roman" w:cs="Times New Roman"/>
                <w:sz w:val="26"/>
                <w:szCs w:val="26"/>
              </w:rPr>
            </w:pPr>
            <w:r>
              <w:rPr>
                <w:rFonts w:ascii="Times New Roman" w:hAnsi="Times New Roman" w:cs="Times New Roman"/>
                <w:sz w:val="26"/>
                <w:szCs w:val="26"/>
              </w:rPr>
              <w:t>(виконано/частково виконано)</w:t>
            </w:r>
          </w:p>
        </w:tc>
        <w:tc>
          <w:tcPr>
            <w:tcW w:w="3513" w:type="dxa"/>
            <w:gridSpan w:val="2"/>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Контактні дані осіб замовника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vAlign w:val="center"/>
          </w:tcPr>
          <w:p>
            <w:pPr>
              <w:spacing w:after="0"/>
              <w:rPr>
                <w:rFonts w:ascii="Times New Roman" w:hAnsi="Times New Roman" w:cs="Times New Roman"/>
                <w:sz w:val="26"/>
                <w:szCs w:val="26"/>
              </w:rPr>
            </w:pPr>
          </w:p>
        </w:tc>
        <w:tc>
          <w:tcPr>
            <w:tcW w:w="1875" w:type="dxa"/>
            <w:vMerge w:val="continue"/>
            <w:vAlign w:val="center"/>
          </w:tcPr>
          <w:p>
            <w:pPr>
              <w:spacing w:after="0"/>
              <w:rPr>
                <w:rFonts w:ascii="Times New Roman" w:hAnsi="Times New Roman" w:cs="Times New Roman"/>
                <w:sz w:val="26"/>
                <w:szCs w:val="26"/>
              </w:rPr>
            </w:pPr>
          </w:p>
        </w:tc>
        <w:tc>
          <w:tcPr>
            <w:tcW w:w="2401" w:type="dxa"/>
            <w:vMerge w:val="continue"/>
            <w:vAlign w:val="center"/>
          </w:tcPr>
          <w:p>
            <w:pPr>
              <w:spacing w:after="0"/>
              <w:rPr>
                <w:rFonts w:ascii="Times New Roman" w:hAnsi="Times New Roman" w:cs="Times New Roman"/>
                <w:sz w:val="26"/>
                <w:szCs w:val="26"/>
              </w:rPr>
            </w:pPr>
          </w:p>
        </w:tc>
        <w:tc>
          <w:tcPr>
            <w:tcW w:w="1962"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Прізвище та ім’я</w:t>
            </w:r>
          </w:p>
        </w:tc>
        <w:tc>
          <w:tcPr>
            <w:tcW w:w="1551"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tc>
        <w:tc>
          <w:tcPr>
            <w:tcW w:w="1875" w:type="dxa"/>
          </w:tcPr>
          <w:p>
            <w:pPr>
              <w:spacing w:after="0"/>
              <w:rPr>
                <w:rFonts w:ascii="Times New Roman" w:hAnsi="Times New Roman" w:cs="Times New Roman"/>
                <w:sz w:val="26"/>
                <w:szCs w:val="26"/>
              </w:rPr>
            </w:pPr>
          </w:p>
        </w:tc>
        <w:tc>
          <w:tcPr>
            <w:tcW w:w="2401" w:type="dxa"/>
          </w:tcPr>
          <w:p>
            <w:pPr>
              <w:spacing w:after="0"/>
              <w:rPr>
                <w:rFonts w:ascii="Times New Roman" w:hAnsi="Times New Roman" w:cs="Times New Roman"/>
                <w:sz w:val="26"/>
                <w:szCs w:val="26"/>
              </w:rPr>
            </w:pPr>
          </w:p>
        </w:tc>
        <w:tc>
          <w:tcPr>
            <w:tcW w:w="1962" w:type="dxa"/>
          </w:tcPr>
          <w:p>
            <w:pPr>
              <w:spacing w:after="0"/>
              <w:rPr>
                <w:rFonts w:ascii="Times New Roman" w:hAnsi="Times New Roman" w:cs="Times New Roman"/>
                <w:sz w:val="26"/>
                <w:szCs w:val="26"/>
              </w:rPr>
            </w:pPr>
          </w:p>
        </w:tc>
        <w:tc>
          <w:tcPr>
            <w:tcW w:w="1551" w:type="dxa"/>
          </w:tcPr>
          <w:p>
            <w:pPr>
              <w:spacing w:after="0"/>
              <w:rPr>
                <w:rFonts w:ascii="Times New Roman" w:hAnsi="Times New Roman" w:cs="Times New Roman"/>
                <w:sz w:val="26"/>
                <w:szCs w:val="26"/>
              </w:rPr>
            </w:pPr>
          </w:p>
        </w:tc>
      </w:tr>
    </w:tbl>
    <w:p>
      <w:pPr>
        <w:spacing w:after="0"/>
        <w:rPr>
          <w:rFonts w:ascii="Times New Roman" w:hAnsi="Times New Roman" w:cs="Times New Roman"/>
          <w:sz w:val="26"/>
          <w:szCs w:val="26"/>
        </w:rPr>
      </w:pPr>
    </w:p>
    <w:tbl>
      <w:tblPr>
        <w:tblStyle w:val="3"/>
        <w:tblpPr w:leftFromText="180" w:rightFromText="180" w:vertAnchor="text" w:horzAnchor="margin" w:tblpXSpec="center" w:tblpY="52"/>
        <w:tblW w:w="100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посада уповноваженої особи Учасника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eastAsia="Times New Roman" w:cs="Times New Roman"/>
          <w:b/>
          <w:color w:val="000000"/>
          <w:sz w:val="26"/>
          <w:szCs w:val="26"/>
          <w:lang w:eastAsia="ru-RU"/>
        </w:rPr>
        <w:t>Підтвердження Учасником інформації про відсутність підстав визначених                                    пунктом 47 Особливостей</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89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10"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Cs/>
                <w:color w:val="000000"/>
                <w:lang w:eastAsia="ru-RU"/>
              </w:rPr>
              <w:t xml:space="preserve">№ </w:t>
            </w:r>
            <w:r>
              <w:rPr>
                <w:rFonts w:ascii="Times New Roman" w:hAnsi="Times New Roman" w:eastAsia="Times New Roman" w:cs="Times New Roman"/>
                <w:bCs/>
                <w:lang w:eastAsia="ru-RU"/>
              </w:rPr>
              <w:t>з</w:t>
            </w:r>
            <w:r>
              <w:rPr>
                <w:rFonts w:ascii="Times New Roman" w:hAnsi="Times New Roman" w:eastAsia="Times New Roman" w:cs="Times New Roman"/>
                <w:bCs/>
                <w:color w:val="000000"/>
                <w:lang w:eastAsia="ru-RU"/>
              </w:rPr>
              <w:t>/п</w:t>
            </w:r>
          </w:p>
        </w:tc>
        <w:tc>
          <w:tcPr>
            <w:tcW w:w="1895" w:type="dxa"/>
            <w:tcMar>
              <w:top w:w="100" w:type="dxa"/>
              <w:left w:w="100" w:type="dxa"/>
              <w:bottom w:w="100" w:type="dxa"/>
              <w:right w:w="100" w:type="dxa"/>
            </w:tcMar>
            <w:vAlign w:val="center"/>
          </w:tcPr>
          <w:p>
            <w:pPr>
              <w:widowControl w:val="0"/>
              <w:autoSpaceDE w:val="0"/>
              <w:autoSpaceDN w:val="0"/>
              <w:adjustRightInd w:val="0"/>
              <w:spacing w:after="0" w:line="240" w:lineRule="auto"/>
              <w:ind w:right="22"/>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color w:val="000000"/>
                <w:sz w:val="24"/>
                <w:szCs w:val="24"/>
                <w:lang w:eastAsia="ru-RU"/>
              </w:rPr>
              <w:t xml:space="preserve">Вимога </w:t>
            </w:r>
          </w:p>
        </w:tc>
        <w:tc>
          <w:tcPr>
            <w:tcW w:w="7229"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Calibri" w:cs="Times New Roman"/>
                <w:b/>
                <w:bCs/>
                <w:color w:val="FF0000"/>
                <w:sz w:val="24"/>
                <w:szCs w:val="24"/>
                <w:lang w:eastAsia="ru-RU"/>
              </w:rPr>
            </w:pPr>
            <w:r>
              <w:rPr>
                <w:rFonts w:ascii="Times New Roman" w:hAnsi="Times New Roman" w:eastAsia="Times New Roman" w:cs="Times New Roman"/>
                <w:bCs/>
                <w:color w:val="000000"/>
                <w:sz w:val="24"/>
                <w:szCs w:val="24"/>
                <w:lang w:eastAsia="ru-RU"/>
              </w:rPr>
              <w:t>Спосіб підтвердження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510" w:type="dxa"/>
            <w:tcMar>
              <w:top w:w="100" w:type="dxa"/>
              <w:left w:w="100" w:type="dxa"/>
              <w:bottom w:w="100" w:type="dxa"/>
              <w:right w:w="100" w:type="dxa"/>
            </w:tcMar>
          </w:tcPr>
          <w:p>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895" w:type="dxa"/>
            <w:tcMar>
              <w:top w:w="100" w:type="dxa"/>
              <w:left w:w="100" w:type="dxa"/>
              <w:bottom w:w="100" w:type="dxa"/>
              <w:right w:w="100" w:type="dxa"/>
            </w:tcMar>
          </w:tcPr>
          <w:p>
            <w:pPr>
              <w:widowControl w:val="0"/>
              <w:autoSpaceDE w:val="0"/>
              <w:autoSpaceDN w:val="0"/>
              <w:adjustRightInd w:val="0"/>
              <w:spacing w:after="0" w:line="240" w:lineRule="auto"/>
              <w:ind w:right="2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Підтвердження відсутності підстав, визначених пунктом 4</w:t>
            </w:r>
            <w:r>
              <w:rPr>
                <w:rFonts w:ascii="Times New Roman" w:hAnsi="Times New Roman" w:eastAsia="Times New Roman" w:cs="Times New Roman"/>
                <w:sz w:val="24"/>
                <w:szCs w:val="24"/>
                <w:lang w:val="ru-RU" w:eastAsia="ru-RU"/>
              </w:rPr>
              <w:t xml:space="preserve">7 </w:t>
            </w:r>
            <w:r>
              <w:rPr>
                <w:rFonts w:ascii="Times New Roman" w:hAnsi="Times New Roman" w:eastAsia="Times New Roman" w:cs="Times New Roman"/>
                <w:sz w:val="24"/>
                <w:szCs w:val="24"/>
                <w:lang w:eastAsia="ru-RU"/>
              </w:rPr>
              <w:t>Особливостей</w:t>
            </w:r>
          </w:p>
        </w:tc>
        <w:tc>
          <w:tcPr>
            <w:tcW w:w="7229" w:type="dxa"/>
            <w:tcMar>
              <w:top w:w="100" w:type="dxa"/>
              <w:left w:w="100" w:type="dxa"/>
              <w:bottom w:w="100" w:type="dxa"/>
              <w:right w:w="100" w:type="dxa"/>
            </w:tcMar>
          </w:tcPr>
          <w:p>
            <w:pPr>
              <w:shd w:val="clear" w:color="auto" w:fill="FFFFFF"/>
              <w:tabs>
                <w:tab w:val="left" w:pos="180"/>
              </w:tabs>
              <w:jc w:val="both"/>
              <w:rPr>
                <w:rFonts w:ascii="Times New Roman" w:hAnsi="Times New Roman" w:cs="Times New Roman"/>
                <w:sz w:val="24"/>
                <w:szCs w:val="24"/>
              </w:rPr>
            </w:pPr>
            <w:r>
              <w:rPr>
                <w:rFonts w:ascii="Times New Roman" w:hAnsi="Times New Roman" w:eastAsia="Calibri" w:cs="Times New Roman"/>
                <w:bCs/>
                <w:sz w:val="24"/>
                <w:szCs w:val="24"/>
                <w:lang w:eastAsia="ru-RU"/>
              </w:rPr>
              <w:t>1.1.</w:t>
            </w:r>
            <w:r>
              <w:rPr>
                <w:rFonts w:ascii="Times New Roman" w:hAnsi="Times New Roman" w:eastAsia="Calibri" w:cs="Times New Roman"/>
                <w:sz w:val="24"/>
                <w:szCs w:val="24"/>
                <w:lang w:eastAsia="ru-RU"/>
              </w:rPr>
              <w:t xml:space="preserve"> </w:t>
            </w:r>
            <w:r>
              <w:rPr>
                <w:rFonts w:ascii="Times New Roman" w:hAnsi="Times New Roman" w:cs="Times New Roman"/>
                <w:b/>
                <w:sz w:val="24"/>
                <w:szCs w:val="24"/>
              </w:rPr>
              <w:t>Щодо підпунктів 3, 5, 6 і 12 пункту 47 Особливостей</w:t>
            </w:r>
            <w:r>
              <w:rPr>
                <w:rFonts w:ascii="Times New Roman" w:hAnsi="Times New Roman" w:cs="Times New Roman"/>
                <w:sz w:val="24"/>
                <w:szCs w:val="24"/>
              </w:rPr>
              <w:t xml:space="preserve"> - учасник під час подання тендерної пропозиції підтверджує відсутність підстав, передбачених підпунктами </w:t>
            </w:r>
            <w:r>
              <w:rPr>
                <w:rFonts w:ascii="Times New Roman" w:hAnsi="Times New Roman" w:cs="Times New Roman"/>
                <w:b/>
                <w:sz w:val="24"/>
                <w:szCs w:val="24"/>
              </w:rPr>
              <w:t xml:space="preserve">3, 5, 6 і 12 </w:t>
            </w:r>
            <w:r>
              <w:rPr>
                <w:rFonts w:ascii="Times New Roman" w:hAnsi="Times New Roman" w:cs="Times New Roman"/>
                <w:sz w:val="24"/>
                <w:szCs w:val="24"/>
              </w:rPr>
              <w:t>пункту 47 Особливостей шляхом заповнення відповідних електронних полів в електронній системі закупівель, а саме проставляння відмітки (галочки)</w:t>
            </w:r>
            <w:r>
              <w:rPr>
                <w:rFonts w:ascii="Times New Roman" w:hAnsi="Times New Roman" w:cs="Times New Roman"/>
                <w:sz w:val="24"/>
                <w:szCs w:val="24"/>
                <w:vertAlign w:val="superscript"/>
              </w:rPr>
              <w:footnoteReference w:id="0" w:customMarkFollows="1"/>
              <w:t>5</w:t>
            </w: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w:t>
            </w:r>
            <w:r>
              <w:rPr>
                <w:rFonts w:ascii="Times New Roman" w:hAnsi="Times New Roman" w:eastAsia="Calibri" w:cs="Times New Roman"/>
                <w:sz w:val="24"/>
                <w:szCs w:val="24"/>
                <w:lang w:eastAsia="ru-RU"/>
              </w:rPr>
              <w:tab/>
            </w:r>
            <w:r>
              <w:rPr>
                <w:rFonts w:ascii="Times New Roman" w:hAnsi="Times New Roman" w:eastAsia="Calibri" w:cs="Times New Roman"/>
                <w:sz w:val="24"/>
                <w:szCs w:val="24"/>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підстави, передбаченої абз. 14 пункту 47 Особливостей </w:t>
            </w:r>
            <w:r>
              <w:rPr>
                <w:rFonts w:ascii="Times New Roman" w:hAnsi="Times New Roman" w:eastAsia="Calibri" w:cs="Times New Roman"/>
                <w:b/>
                <w:bCs/>
                <w:sz w:val="24"/>
                <w:szCs w:val="24"/>
                <w:lang w:eastAsia="ru-RU"/>
              </w:rPr>
              <w:t>у вигляді довідки, складеної Учасником у довільній формі</w:t>
            </w:r>
            <w:r>
              <w:rPr>
                <w:rFonts w:ascii="Times New Roman" w:hAnsi="Times New Roman" w:eastAsia="Calibri" w:cs="Times New Roman"/>
                <w:sz w:val="24"/>
                <w:szCs w:val="24"/>
                <w:lang w:eastAsia="ru-RU"/>
              </w:rPr>
              <w:t>, зміст якої підтверджує відсутність відповідної підстави для відмови в участі у процедурі закупівлі.</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Учасник процедури закупівлі, що перебуває в обставинах, зазначених в абз.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Інші документи*, що вимагаються Замовником для завантаження Учасником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numPr>
                <w:ilvl w:val="1"/>
                <w:numId w:val="1"/>
              </w:numPr>
              <w:autoSpaceDE w:val="0"/>
              <w:autoSpaceDN w:val="0"/>
              <w:adjustRightInd w:val="0"/>
              <w:spacing w:after="0" w:line="240" w:lineRule="auto"/>
              <w:contextualSpacing/>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ru-RU" w:eastAsia="ru-RU"/>
              </w:rPr>
              <w:t xml:space="preserve">Відомості про </w:t>
            </w:r>
            <w:r>
              <w:rPr>
                <w:rFonts w:ascii="Times New Roman" w:hAnsi="Times New Roman" w:eastAsia="Times New Roman" w:cs="Times New Roman"/>
                <w:sz w:val="24"/>
                <w:szCs w:val="24"/>
                <w:lang w:eastAsia="ru-RU"/>
              </w:rPr>
              <w:t>У</w:t>
            </w:r>
            <w:r>
              <w:rPr>
                <w:rFonts w:ascii="Times New Roman" w:hAnsi="Times New Roman" w:eastAsia="Times New Roman" w:cs="Times New Roman"/>
                <w:sz w:val="24"/>
                <w:szCs w:val="24"/>
                <w:lang w:val="ru-RU" w:eastAsia="ru-RU"/>
              </w:rPr>
              <w:t xml:space="preserve">часника (Зразок </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val="en-US" w:eastAsia="ru-RU"/>
              </w:rPr>
              <w:t>.</w:t>
            </w:r>
          </w:p>
          <w:p>
            <w:pPr>
              <w:autoSpaceDE w:val="0"/>
              <w:autoSpaceDN w:val="0"/>
              <w:adjustRightInd w:val="0"/>
              <w:spacing w:after="0" w:line="240" w:lineRule="auto"/>
              <w:ind w:left="360"/>
              <w:contextualSpacing/>
              <w:jc w:val="both"/>
              <w:rPr>
                <w:rFonts w:ascii="Times New Roman" w:hAnsi="Times New Roman" w:eastAsia="Times New Roman" w:cs="Times New Roman"/>
                <w:sz w:val="24"/>
                <w:szCs w:val="24"/>
                <w:lang w:val="ru-RU" w:eastAsia="ru-RU"/>
              </w:rPr>
            </w:pPr>
          </w:p>
          <w:p>
            <w:pPr>
              <w:jc w:val="both"/>
              <w:rPr>
                <w:rFonts w:ascii="Times New Roman" w:hAnsi="Times New Roman"/>
                <w:sz w:val="24"/>
                <w:szCs w:val="24"/>
                <w:lang w:val="ru-RU"/>
              </w:rPr>
            </w:pPr>
            <w:r>
              <w:rPr>
                <w:rFonts w:ascii="Times New Roman" w:hAnsi="Times New Roman"/>
                <w:sz w:val="24"/>
                <w:szCs w:val="24"/>
              </w:rPr>
              <w:t>1.4. Гарантійний лист згідно Зразку 3 і 4</w:t>
            </w:r>
            <w:r>
              <w:rPr>
                <w:rFonts w:ascii="Times New Roman" w:hAnsi="Times New Roman"/>
                <w:sz w:val="24"/>
                <w:szCs w:val="24"/>
                <w:lang w:val="ru-RU"/>
              </w:rPr>
              <w:t>.</w:t>
            </w:r>
          </w:p>
          <w:p>
            <w:pPr>
              <w:jc w:val="both"/>
              <w:rPr>
                <w:rFonts w:ascii="Times New Roman" w:hAnsi="Times New Roman" w:cs="Times New Roman"/>
                <w:sz w:val="24"/>
                <w:szCs w:val="24"/>
              </w:rPr>
            </w:pPr>
            <w:r>
              <w:rPr>
                <w:rFonts w:ascii="Times New Roman" w:hAnsi="Times New Roman" w:cs="Times New Roman"/>
                <w:sz w:val="24"/>
                <w:szCs w:val="24"/>
              </w:rPr>
              <w:t>1.5.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(Зразок 5).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Витяг/свідоцтво з реєстру платників податку на додану вартість або платників єдиного податку.</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1.7. Документи, що </w:t>
            </w:r>
            <w:r>
              <w:rPr>
                <w:rFonts w:ascii="Times New Roman" w:hAnsi="Times New Roman" w:cs="Times New Roman"/>
                <w:b/>
                <w:sz w:val="24"/>
                <w:szCs w:val="24"/>
              </w:rPr>
              <w:t>підтверджують</w:t>
            </w:r>
            <w:r>
              <w:rPr>
                <w:rFonts w:ascii="Times New Roman" w:hAnsi="Times New Roman" w:cs="Times New Roman"/>
                <w:sz w:val="24"/>
                <w:szCs w:val="24"/>
              </w:rPr>
              <w:t xml:space="preserve"> </w:t>
            </w:r>
            <w:r>
              <w:rPr>
                <w:rFonts w:ascii="Times New Roman" w:hAnsi="Times New Roman" w:cs="Times New Roman"/>
                <w:b/>
                <w:sz w:val="24"/>
                <w:szCs w:val="24"/>
              </w:rPr>
              <w:t>повноваження щодо підпису документів</w:t>
            </w:r>
            <w:r>
              <w:rPr>
                <w:rFonts w:ascii="Times New Roman" w:hAnsi="Times New Roman" w:cs="Times New Roman"/>
                <w:sz w:val="24"/>
                <w:szCs w:val="24"/>
              </w:rPr>
              <w:t xml:space="preserve"> тендерної пропозиції та внесення інформації в електронні поля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посадової особи або представника учасника процедури закупівлі</w:t>
            </w:r>
            <w:r>
              <w:rPr>
                <w:rFonts w:ascii="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фізичної особи, у тому числі фізичної особи-підприємця</w:t>
            </w:r>
            <w:r>
              <w:rPr>
                <w:rFonts w:ascii="Times New Roman" w:hAnsi="Times New Roman" w:cs="Times New Roman"/>
                <w:sz w:val="24"/>
                <w:szCs w:val="24"/>
              </w:rPr>
              <w:t>: не вимагається.</w:t>
            </w:r>
          </w:p>
          <w:p>
            <w:pPr>
              <w:spacing w:after="0"/>
              <w:jc w:val="both"/>
              <w:rPr>
                <w:rFonts w:ascii="Times New Roman" w:hAnsi="Times New Roman" w:cs="Times New Roman"/>
                <w:sz w:val="24"/>
                <w:szCs w:val="24"/>
              </w:rPr>
            </w:pP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1.8.</w:t>
            </w:r>
            <w:r>
              <w:rPr>
                <w:rFonts w:ascii="Times New Roman" w:hAnsi="Times New Roman" w:eastAsia="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pPr>
              <w:widowControl w:val="0"/>
              <w:spacing w:after="0" w:line="240" w:lineRule="auto"/>
              <w:ind w:firstLine="142"/>
              <w:jc w:val="both"/>
              <w:rPr>
                <w:rFonts w:ascii="Times New Roman" w:hAnsi="Times New Roman" w:eastAsia="Arial" w:cs="Times New Roman"/>
                <w:sz w:val="24"/>
                <w:szCs w:val="24"/>
                <w:lang w:eastAsia="ru-RU"/>
              </w:rPr>
            </w:pPr>
            <w:r>
              <w:rPr>
                <w:rFonts w:ascii="Times New Roman" w:hAnsi="Times New Roman" w:eastAsia="Arial" w:cs="Times New Roman"/>
                <w:b/>
                <w:sz w:val="24"/>
                <w:szCs w:val="24"/>
                <w:lang w:eastAsia="ru-RU"/>
              </w:rPr>
              <w:t xml:space="preserve">- </w:t>
            </w:r>
            <w:r>
              <w:rPr>
                <w:rFonts w:ascii="Times New Roman" w:hAnsi="Times New Roman" w:eastAsia="Arial" w:cs="Times New Roman"/>
                <w:sz w:val="24"/>
                <w:szCs w:val="24"/>
                <w:lang w:eastAsia="ru-RU"/>
              </w:rPr>
              <w:t>згода з умовами та вимогами, які визначені у технічній специфікації (</w:t>
            </w:r>
            <w:r>
              <w:rPr>
                <w:rFonts w:ascii="Times New Roman" w:hAnsi="Times New Roman" w:eastAsia="Arial" w:cs="Times New Roman"/>
                <w:b/>
                <w:sz w:val="24"/>
                <w:szCs w:val="24"/>
                <w:lang w:eastAsia="ru-RU"/>
              </w:rPr>
              <w:t>додаток 2</w:t>
            </w:r>
            <w:r>
              <w:rPr>
                <w:rFonts w:ascii="Times New Roman" w:hAnsi="Times New Roman" w:eastAsia="Times New Roman" w:cs="Times New Roman"/>
                <w:b/>
                <w:sz w:val="24"/>
                <w:szCs w:val="24"/>
                <w:lang w:eastAsia="ru-RU"/>
              </w:rPr>
              <w:t xml:space="preserve"> до тендерної документації</w:t>
            </w:r>
            <w:r>
              <w:rPr>
                <w:rFonts w:ascii="Times New Roman" w:hAnsi="Times New Roman" w:eastAsia="Arial"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p>
          <w:p>
            <w:pPr>
              <w:widowControl w:val="0"/>
              <w:numPr>
                <w:ilvl w:val="1"/>
                <w:numId w:val="2"/>
              </w:numPr>
              <w:shd w:val="clear" w:color="auto" w:fill="FFFFFF" w:themeFill="background1"/>
              <w:autoSpaceDE w:val="0"/>
              <w:autoSpaceDN w:val="0"/>
              <w:adjustRightInd w:val="0"/>
              <w:spacing w:after="0" w:line="240" w:lineRule="auto"/>
              <w:ind w:left="0" w:firstLine="91"/>
              <w:contextualSpacing/>
              <w:jc w:val="both"/>
              <w:rPr>
                <w:rFonts w:ascii="Times New Roman" w:hAnsi="Times New Roman" w:eastAsia="Times New Roman" w:cs="Times New Roman"/>
                <w:sz w:val="24"/>
                <w:szCs w:val="24"/>
                <w:lang w:val="ru-RU" w:eastAsia="ru-RU"/>
              </w:rPr>
            </w:pPr>
            <w:r>
              <w:rPr>
                <w:rFonts w:ascii="Times New Roman" w:hAnsi="Times New Roman" w:eastAsia="Arial" w:cs="Times New Roman"/>
                <w:sz w:val="24"/>
                <w:szCs w:val="24"/>
                <w:lang w:eastAsia="ru-RU"/>
              </w:rPr>
              <w:t xml:space="preserve"> </w:t>
            </w:r>
            <w:r>
              <w:rPr>
                <w:rFonts w:ascii="Times New Roman" w:hAnsi="Times New Roman" w:eastAsia="Arial" w:cs="Times New Roman"/>
                <w:sz w:val="24"/>
                <w:szCs w:val="24"/>
                <w:lang w:val="ru-RU" w:eastAsia="ru-RU"/>
              </w:rPr>
              <w:t>Заповнений проект Договору, оформлений належним чином</w:t>
            </w:r>
            <w:r>
              <w:rPr>
                <w:rFonts w:ascii="Times New Roman" w:hAnsi="Times New Roman" w:eastAsia="Arial" w:cs="Times New Roman"/>
                <w:sz w:val="24"/>
                <w:szCs w:val="24"/>
                <w:lang w:eastAsia="ru-RU"/>
              </w:rPr>
              <w:t xml:space="preserve"> (з підписами керівника та печаткою у разі наявності)</w:t>
            </w:r>
            <w:r>
              <w:rPr>
                <w:rFonts w:ascii="Times New Roman" w:hAnsi="Times New Roman" w:eastAsia="Arial" w:cs="Times New Roman"/>
                <w:sz w:val="24"/>
                <w:szCs w:val="24"/>
                <w:lang w:val="ru-RU" w:eastAsia="ru-RU"/>
              </w:rPr>
              <w:t>, що підтверджує погодження учасника з умовами Договору.</w:t>
            </w:r>
          </w:p>
          <w:p>
            <w:pPr>
              <w:widowControl w:val="0"/>
              <w:shd w:val="clear" w:color="auto" w:fill="FFFFFF" w:themeFill="background1"/>
              <w:autoSpaceDE w:val="0"/>
              <w:autoSpaceDN w:val="0"/>
              <w:adjustRightInd w:val="0"/>
              <w:spacing w:after="0" w:line="240" w:lineRule="auto"/>
              <w:ind w:left="91"/>
              <w:contextualSpacing/>
              <w:jc w:val="both"/>
              <w:rPr>
                <w:rFonts w:ascii="Times New Roman" w:hAnsi="Times New Roman" w:eastAsia="Times New Roman" w:cs="Times New Roman"/>
                <w:sz w:val="24"/>
                <w:szCs w:val="24"/>
                <w:lang w:val="ru-RU" w:eastAsia="ru-RU"/>
              </w:rPr>
            </w:pPr>
          </w:p>
          <w:p>
            <w:pPr>
              <w:widowControl w:val="0"/>
              <w:numPr>
                <w:ilvl w:val="1"/>
                <w:numId w:val="2"/>
              </w:numPr>
              <w:shd w:val="clear" w:color="auto" w:fill="FFFFFF" w:themeFill="background1"/>
              <w:autoSpaceDE w:val="0"/>
              <w:autoSpaceDN w:val="0"/>
              <w:adjustRightInd w:val="0"/>
              <w:spacing w:after="0" w:line="240" w:lineRule="auto"/>
              <w:ind w:left="0" w:firstLine="48"/>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z w:val="24"/>
                <w:szCs w:val="24"/>
                <w:lang w:eastAsia="ru-RU"/>
              </w:rPr>
              <w:t>Копія діючої Ліцензії</w:t>
            </w:r>
            <w:r>
              <w:rPr>
                <w:rFonts w:ascii="Times New Roman" w:hAnsi="Times New Roman" w:eastAsia="Arial" w:cs="Times New Roman"/>
                <w:sz w:val="24"/>
                <w:szCs w:val="24"/>
                <w:lang w:val="ru-RU" w:eastAsia="ru-RU"/>
              </w:rPr>
              <w:t xml:space="preserve"> </w:t>
            </w:r>
            <w:r>
              <w:rPr>
                <w:rFonts w:ascii="Times New Roman" w:hAnsi="Times New Roman" w:eastAsia="Arial" w:cs="Times New Roman"/>
                <w:sz w:val="24"/>
                <w:szCs w:val="24"/>
                <w:lang w:eastAsia="ru-RU"/>
              </w:rPr>
              <w:t xml:space="preserve">державної інспекції з контролю якості лікарських засобів Міністерства охорони здоров’я України. </w:t>
            </w:r>
          </w:p>
        </w:tc>
      </w:tr>
    </w:tbl>
    <w:p>
      <w:pPr>
        <w:spacing w:after="0"/>
        <w:jc w:val="center"/>
        <w:rPr>
          <w:rFonts w:ascii="Times New Roman" w:hAnsi="Times New Roman" w:eastAsia="Times New Roman" w:cs="Times New Roman"/>
          <w:b/>
          <w:color w:val="000000"/>
          <w:sz w:val="26"/>
          <w:szCs w:val="26"/>
          <w:lang w:eastAsia="ru-RU"/>
        </w:rPr>
      </w:pPr>
    </w:p>
    <w:p>
      <w:pPr>
        <w:spacing w:after="0"/>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Підтвердження відповідності Учасника-переможця інформації про відсутність підстав визначених пунктом 47 Особливостей</w:t>
      </w:r>
    </w:p>
    <w:p>
      <w:pPr>
        <w:spacing w:after="0"/>
        <w:jc w:val="center"/>
        <w:rPr>
          <w:rFonts w:ascii="Times New Roman" w:hAnsi="Times New Roman" w:eastAsia="Times New Roman" w:cs="Times New Roman"/>
          <w:b/>
          <w:color w:val="000000"/>
          <w:sz w:val="26"/>
          <w:szCs w:val="26"/>
          <w:lang w:eastAsia="ru-RU"/>
        </w:rPr>
      </w:pP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634" w:type="dxa"/>
            <w:tcMar>
              <w:top w:w="100" w:type="dxa"/>
              <w:left w:w="100" w:type="dxa"/>
              <w:bottom w:w="100" w:type="dxa"/>
              <w:right w:w="100" w:type="dxa"/>
            </w:tcMar>
          </w:tcPr>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Учасник-переможець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файли з документами що підтверджують відсутність підстав, зазначених у підпунктах 3, 5, 6 і 12 та в абзаці чотирнадцятому пункту 47 Особливостей.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Учасник-переможець надає Замовнику наступні документи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Cs/>
                <w:color w:val="000000"/>
                <w:sz w:val="24"/>
                <w:szCs w:val="24"/>
                <w:lang w:val="ru-RU" w:eastAsia="ru-RU"/>
              </w:rPr>
              <w:t>1</w:t>
            </w:r>
            <w:r>
              <w:rPr>
                <w:rFonts w:ascii="Times New Roman" w:hAnsi="Times New Roman" w:eastAsia="Times New Roman" w:cs="Times New Roman"/>
                <w:bCs/>
                <w:color w:val="000000"/>
                <w:sz w:val="24"/>
                <w:szCs w:val="24"/>
                <w:lang w:eastAsia="ru-RU"/>
              </w:rPr>
              <w:t>. Інформацію про право підписання договору про закупівлю згідно ст.17 Особливостей</w:t>
            </w:r>
            <w:r>
              <w:rPr>
                <w:rFonts w:ascii="Times New Roman" w:hAnsi="Times New Roman" w:eastAsia="Times New Roman" w:cs="Times New Roman"/>
                <w:b/>
                <w:bCs/>
                <w:color w:val="000000"/>
                <w:sz w:val="24"/>
                <w:szCs w:val="24"/>
                <w:lang w:eastAsia="ru-RU"/>
              </w:rPr>
              <w:t xml:space="preserve"> -</w:t>
            </w:r>
            <w:r>
              <w:t xml:space="preserve"> </w:t>
            </w:r>
            <w:r>
              <w:rPr>
                <w:rFonts w:ascii="Times New Roman" w:hAnsi="Times New Roman" w:eastAsia="Times New Roman" w:cs="Times New Roman"/>
                <w:bCs/>
                <w:color w:val="000000"/>
                <w:sz w:val="24"/>
                <w:szCs w:val="24"/>
                <w:lang w:eastAsia="ru-RU"/>
              </w:rPr>
              <w:t xml:space="preserve">для посадової особи або представника учасника процедури закупівлі на підписання договору: статут або інший установчий акт, виписка з протоколу засновників/учасників, наказ про призначення, довіреність, доручення або інший документ, що підтверджує повноваження посадової особи на підписання договору про закупівлю. </w:t>
            </w:r>
            <w:r>
              <w:rPr>
                <w:rFonts w:ascii="Times New Roman" w:hAnsi="Times New Roman" w:eastAsia="Times New Roman" w:cs="Times New Roman"/>
                <w:b/>
                <w:bCs/>
                <w:color w:val="000000"/>
                <w:sz w:val="24"/>
                <w:szCs w:val="24"/>
                <w:lang w:eastAsia="ru-RU"/>
              </w:rPr>
              <w:t>Вищевказана інформація завантажується до електронної системи учасником-переможцем обов’язково, навіть у разі наявності даної інформації в тендерній пропозиції учасника.</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2. Інформаційну довідку або витяг з Єдиного державного реєстру осіб, які вчинили корупційні або пов’язані з корупцією правопорушення, про те, що керівника учасника-переможця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формується користувачем на основі даних з кваліфікованого електронного підпису. </w:t>
            </w:r>
            <w:r>
              <w:rPr>
                <w:rFonts w:ascii="Times New Roman" w:hAnsi="Times New Roman" w:eastAsia="Times New Roman" w:cs="Times New Roman"/>
                <w:b/>
                <w:bCs/>
                <w:color w:val="000000"/>
                <w:sz w:val="24"/>
                <w:szCs w:val="24"/>
                <w:lang w:eastAsia="ru-RU"/>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Pr>
                <w:rFonts w:ascii="Times New Roman" w:hAnsi="Times New Roman" w:eastAsia="Times New Roman" w:cs="Times New Roman"/>
                <w:bCs/>
                <w:color w:val="000000"/>
                <w:sz w:val="24"/>
                <w:szCs w:val="24"/>
                <w:lang w:eastAsia="ru-RU"/>
              </w:rPr>
              <w:t>.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3.</w:t>
            </w:r>
            <w:r>
              <w:rPr>
                <w:rFonts w:ascii="Times New Roman" w:hAnsi="Times New Roman" w:eastAsia="Times New Roman" w:cs="Times New Roman"/>
                <w:bCs/>
                <w:color w:val="000000"/>
                <w:sz w:val="24"/>
                <w:szCs w:val="24"/>
                <w:lang w:eastAsia="ru-RU"/>
              </w:rPr>
              <w:tab/>
            </w:r>
            <w:r>
              <w:rPr>
                <w:rFonts w:ascii="Times New Roman" w:hAnsi="Times New Roman" w:eastAsia="Times New Roman" w:cs="Times New Roman"/>
                <w:bCs/>
                <w:color w:val="000000"/>
                <w:sz w:val="24"/>
                <w:szCs w:val="24"/>
                <w:lang w:eastAsia="ru-RU"/>
              </w:rPr>
              <w:t xml:space="preserve">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керівника учасника-переможця процедури закупівлі / фізичної особи, яка є учасником процедури закупівлі. </w:t>
            </w:r>
            <w:r>
              <w:rPr>
                <w:rFonts w:ascii="Times New Roman" w:hAnsi="Times New Roman" w:eastAsia="Times New Roman" w:cs="Times New Roman"/>
                <w:b/>
                <w:bCs/>
                <w:color w:val="000000"/>
                <w:sz w:val="24"/>
                <w:szCs w:val="24"/>
                <w:lang w:eastAsia="ru-RU"/>
              </w:rPr>
              <w:t>Такий документ має бути виданий (датований) після дати</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color w:val="000000"/>
                <w:sz w:val="24"/>
                <w:szCs w:val="24"/>
                <w:lang w:eastAsia="ru-RU"/>
              </w:rPr>
              <w:t>оприлюднення оголошення</w:t>
            </w:r>
            <w:r>
              <w:rPr>
                <w:rFonts w:ascii="Times New Roman" w:hAnsi="Times New Roman" w:eastAsia="Times New Roman" w:cs="Times New Roman"/>
                <w:bCs/>
                <w:color w:val="000000"/>
                <w:sz w:val="24"/>
                <w:szCs w:val="24"/>
                <w:lang w:eastAsia="ru-RU"/>
              </w:rPr>
              <w:t xml:space="preserve"> про проведення процедури закупівлі. Витяг можна замовити за посиланням: https://vytiah.mvs.gov.ua/app/landing.</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4. Довідка у довільній формі за підписом уповноваженої особи учасника-переможця процедури закупівлі, яка містить інформацію про те, що учасник-переможець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Під раніше укладеним з замовником договором про закупівлю, мається на увазі Договори, що укладені після 01.10.2020 р.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У разі відсутності раніше укладених договорів про закупівлю з замовником надається лист від учасника-переможця в довільній формі про відсутність укладених договорів про закупівлю з замовником та невиконаних зобов’язань.</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Cs/>
                <w:i/>
                <w:iCs/>
                <w:color w:val="000000"/>
                <w:sz w:val="21"/>
                <w:szCs w:val="21"/>
                <w:lang w:eastAsia="ru-RU"/>
              </w:rPr>
            </w:pPr>
            <w:r>
              <w:rPr>
                <w:rFonts w:ascii="Times New Roman" w:hAnsi="Times New Roman" w:eastAsia="Times New Roman" w:cs="Times New Roman"/>
                <w:bCs/>
                <w:color w:val="000000"/>
                <w:sz w:val="24"/>
                <w:szCs w:val="24"/>
                <w:lang w:eastAsia="ru-RU"/>
              </w:rPr>
              <w:t>*</w:t>
            </w:r>
            <w:r>
              <w:rPr>
                <w:rFonts w:ascii="Times New Roman" w:hAnsi="Times New Roman" w:eastAsia="Times New Roman" w:cs="Times New Roman"/>
                <w:bCs/>
                <w:i/>
                <w:color w:val="000000"/>
                <w:sz w:val="24"/>
                <w:szCs w:val="24"/>
                <w:lang w:eastAsia="ru-RU"/>
              </w:rPr>
              <w:t>Невиконання Учасником-переможцем, вимог даного розділу, буде розцінено як відмова переможця від підписання договору про закупівлю та тягне за собою наслідки відповідно до підпункту 3 пункту 44 Особливостей.</w:t>
            </w:r>
          </w:p>
        </w:tc>
      </w:tr>
    </w:tbl>
    <w:p>
      <w:pPr>
        <w:spacing w:after="0"/>
        <w:jc w:val="right"/>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i/>
          <w:color w:val="000000"/>
          <w:sz w:val="26"/>
          <w:szCs w:val="26"/>
          <w:shd w:val="clear" w:color="auto" w:fill="FFFFFF"/>
        </w:rPr>
      </w:pPr>
    </w:p>
    <w:p>
      <w:pPr>
        <w:spacing w:after="0"/>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sz w:val="26"/>
          <w:szCs w:val="26"/>
        </w:rPr>
      </w:pPr>
      <w:r>
        <w:rPr>
          <w:rFonts w:ascii="Times New Roman" w:hAnsi="Times New Roman" w:cs="Times New Roman"/>
          <w:b/>
          <w:i/>
          <w:color w:val="000000"/>
          <w:sz w:val="26"/>
          <w:szCs w:val="26"/>
          <w:shd w:val="clear" w:color="auto" w:fill="FFFFFF"/>
        </w:rPr>
        <w:t xml:space="preserve">   </w:t>
      </w:r>
      <w:r>
        <w:rPr>
          <w:rFonts w:ascii="Times New Roman" w:hAnsi="Times New Roman" w:cs="Times New Roman"/>
          <w:b/>
          <w:sz w:val="26"/>
          <w:szCs w:val="26"/>
        </w:rPr>
        <w:t>Зразок 2</w:t>
      </w:r>
    </w:p>
    <w:p>
      <w:pPr>
        <w:spacing w:after="0"/>
        <w:jc w:val="right"/>
        <w:rPr>
          <w:rFonts w:ascii="Times New Roman" w:hAnsi="Times New Roman" w:cs="Times New Roman"/>
          <w:b/>
          <w:sz w:val="26"/>
          <w:szCs w:val="26"/>
        </w:rPr>
      </w:pPr>
      <w:r>
        <w:rPr>
          <w:rFonts w:ascii="Times New Roman CYR" w:hAnsi="Times New Roman CYR" w:eastAsia="Times New Roman" w:cs="Times New Roman CYR"/>
          <w:color w:val="000000"/>
          <w:sz w:val="24"/>
          <w:szCs w:val="24"/>
          <w:lang w:eastAsia="ru-RU"/>
        </w:rPr>
        <w:t xml:space="preserve">Уповноваженій особі </w:t>
      </w:r>
    </w:p>
    <w:p>
      <w:pPr>
        <w:spacing w:after="0"/>
        <w:jc w:val="center"/>
        <w:rPr>
          <w:rFonts w:ascii="Times New Roman" w:hAnsi="Times New Roman" w:cs="Times New Roman"/>
          <w:b/>
          <w:sz w:val="26"/>
          <w:szCs w:val="26"/>
        </w:rPr>
      </w:pPr>
      <w:r>
        <w:rPr>
          <w:rFonts w:ascii="Times New Roman" w:hAnsi="Times New Roman" w:cs="Times New Roman"/>
          <w:b/>
          <w:sz w:val="26"/>
          <w:szCs w:val="26"/>
        </w:rPr>
        <w:t>Відомості про Учасника</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Повна назва учасника:____________________________________________________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Місцезнаходження: 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Поштова адреса: 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Банківські реквізити обслуговуючого банку: 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Код ЄДРПОУ: 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Індивідуальний податковий номер:__________________________________________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Статус платника податку: 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Контактний номер телефону (телефаксу):_____________________________________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Е-mail:___________________________________________________________________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Відомості про підписанта договору (посада, ПІБ):_______________________________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Відомості про підписанта документів тендерної пропозиції:______________________</w:t>
      </w:r>
    </w:p>
    <w:tbl>
      <w:tblPr>
        <w:tblStyle w:val="3"/>
        <w:tblW w:w="9740" w:type="dxa"/>
        <w:jc w:val="center"/>
        <w:tblLayout w:type="fixed"/>
        <w:tblCellMar>
          <w:top w:w="0" w:type="dxa"/>
          <w:left w:w="108" w:type="dxa"/>
          <w:bottom w:w="0" w:type="dxa"/>
          <w:right w:w="108" w:type="dxa"/>
        </w:tblCellMar>
      </w:tblPr>
      <w:tblGrid>
        <w:gridCol w:w="3119"/>
        <w:gridCol w:w="3280"/>
        <w:gridCol w:w="3341"/>
      </w:tblGrid>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w:t>
            </w:r>
          </w:p>
        </w:tc>
      </w:tr>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посада уповноваженої        </w:t>
            </w:r>
          </w:p>
          <w:p>
            <w:pPr>
              <w:spacing w:after="0"/>
              <w:rPr>
                <w:rFonts w:ascii="Times New Roman" w:hAnsi="Times New Roman" w:cs="Times New Roman"/>
                <w:sz w:val="26"/>
                <w:szCs w:val="26"/>
              </w:rPr>
            </w:pPr>
            <w:r>
              <w:rPr>
                <w:rFonts w:ascii="Times New Roman" w:hAnsi="Times New Roman" w:cs="Times New Roman"/>
                <w:sz w:val="26"/>
                <w:szCs w:val="26"/>
              </w:rPr>
              <w:t xml:space="preserve">  особи Учасника</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 (за наявності)</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shd w:val="clear" w:color="auto" w:fill="FFFFFF"/>
        <w:spacing w:after="0" w:line="240" w:lineRule="auto"/>
        <w:ind w:firstLine="8364"/>
        <w:jc w:val="right"/>
        <w:rPr>
          <w:rFonts w:ascii="Times New Roman" w:hAnsi="Times New Roman" w:eastAsia="Times New Roman" w:cs="Times New Roman"/>
          <w:b/>
          <w:bCs/>
          <w:iCs/>
          <w:color w:val="000000"/>
          <w:sz w:val="26"/>
          <w:szCs w:val="26"/>
          <w:lang w:eastAsia="uk-UA"/>
        </w:rPr>
      </w:pPr>
      <w:r>
        <w:rPr>
          <w:rFonts w:ascii="Times New Roman" w:hAnsi="Times New Roman" w:eastAsia="Times New Roman" w:cs="Times New Roman"/>
          <w:b/>
          <w:bCs/>
          <w:iCs/>
          <w:color w:val="000000"/>
          <w:sz w:val="26"/>
          <w:szCs w:val="26"/>
          <w:lang w:eastAsia="uk-UA"/>
        </w:rPr>
        <w:t>Зразок 3</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lang w:eastAsia="ru-RU"/>
        </w:rPr>
      </w:pPr>
      <w:r>
        <w:rPr>
          <w:rFonts w:ascii="Times New Roman CYR" w:hAnsi="Times New Roman CYR" w:eastAsia="Times New Roman" w:cs="Times New Roman CYR"/>
          <w:b/>
          <w:color w:val="000000"/>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lang w:eastAsia="ru-RU"/>
        </w:rPr>
      </w:pP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jc w:val="both"/>
        <w:rPr>
          <w:rFonts w:ascii="Times New Roman CYR" w:hAnsi="Times New Roman CYR" w:eastAsia="Times New Roman" w:cs="Times New Roman CYR"/>
          <w:b/>
          <w:bCs/>
          <w:color w:val="000000"/>
          <w:sz w:val="24"/>
          <w:szCs w:val="24"/>
          <w:u w:val="single"/>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u w:val="single"/>
          <w:lang w:eastAsia="ru-RU"/>
        </w:rPr>
        <w:t>Учасник /Виробник</w:t>
      </w:r>
      <w:r>
        <w:rPr>
          <w:rFonts w:ascii="Times New Roman CYR" w:hAnsi="Times New Roman CYR" w:eastAsia="Times New Roman" w:cs="Times New Roman CYR"/>
          <w:b/>
          <w:bCs/>
          <w:color w:val="000000"/>
          <w:sz w:val="24"/>
          <w:szCs w:val="24"/>
          <w:u w:val="single"/>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OFAC Сполучених Штатів Америки (перелік осіб, до яких застосовані санкції, що визначається The Office of Foreign Assets Control of the US Department of the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Європейського Союзу (Consolidated list of persons, groups and entities subject to EU financial sanctions);</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w:t>
      </w: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r>
        <w:rPr>
          <w:rFonts w:ascii="Times New Roman" w:hAnsi="Times New Roman" w:eastAsia="Times New Roman" w:cs="Times New Roman"/>
          <w:b/>
          <w:bCs/>
          <w:iCs/>
          <w:color w:val="000000"/>
          <w:sz w:val="24"/>
          <w:szCs w:val="24"/>
          <w:lang w:eastAsia="uk-UA"/>
        </w:rPr>
        <w:t>Зразок 4</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r>
        <w:rPr>
          <w:rFonts w:ascii="Times New Roman CYR" w:hAnsi="Times New Roman CYR" w:eastAsia="Times New Roman" w:cs="Times New Roman CYR"/>
          <w:b/>
          <w:color w:val="000000"/>
          <w:sz w:val="24"/>
          <w:szCs w:val="24"/>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lang w:eastAsia="ru-RU"/>
        </w:rPr>
        <w:t xml:space="preserve">Учасник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не перебуває під дією спеціальних економічних та інших обмежувальних заходів, встановлених: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sz w:val="24"/>
          <w:szCs w:val="24"/>
          <w:lang w:eastAsia="ru-RU"/>
        </w:rPr>
        <w:t>Законом України</w:t>
      </w:r>
      <w:r>
        <w:rPr>
          <w:rFonts w:ascii="Times New Roman CYR" w:hAnsi="Times New Roman CYR" w:eastAsia="Times New Roman" w:cs="Times New Roman CYR"/>
          <w:b/>
          <w:sz w:val="24"/>
          <w:szCs w:val="24"/>
          <w:lang w:eastAsia="ru-RU"/>
        </w:rPr>
        <w:t xml:space="preserve"> </w:t>
      </w:r>
      <w:r>
        <w:rPr>
          <w:rFonts w:ascii="Times New Roman CYR" w:hAnsi="Times New Roman CYR" w:eastAsia="Times New Roman" w:cs="Times New Roman CYR"/>
          <w:sz w:val="24"/>
          <w:szCs w:val="24"/>
          <w:lang w:eastAsia="ru-RU"/>
        </w:rPr>
        <w:t>від 3 березня 2022 року №2116-IX</w:t>
      </w:r>
      <w:r>
        <w:rPr>
          <w:rFonts w:ascii="Times New Roman CYR" w:hAnsi="Times New Roman CYR" w:eastAsia="Times New Roman" w:cs="Times New Roman CYR"/>
          <w:b/>
          <w:sz w:val="24"/>
          <w:szCs w:val="24"/>
          <w:lang w:eastAsia="ru-RU"/>
        </w:rPr>
        <w:t xml:space="preserve"> «Про основні засади примусового вилучення в Україні об’єктів права власності Російської Федерації та її резидентів»</w:t>
      </w:r>
      <w:r>
        <w:rPr>
          <w:rFonts w:ascii="Times New Roman CYR" w:hAnsi="Times New Roman CYR" w:eastAsia="Times New Roman" w:cs="Times New Roman CYR"/>
          <w:sz w:val="24"/>
          <w:szCs w:val="24"/>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Постановою Кабінету Міністрів України від 3 березня 2022 року №187</w:t>
      </w:r>
      <w:r>
        <w:rPr>
          <w:rFonts w:ascii="Times New Roman CYR" w:hAnsi="Times New Roman CYR" w:eastAsia="Times New Roman" w:cs="Times New Roman CYR"/>
          <w:b/>
          <w:sz w:val="24"/>
          <w:szCs w:val="24"/>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Pr>
          <w:rFonts w:ascii="Times New Roman CYR" w:hAnsi="Times New Roman CYR" w:eastAsia="Times New Roman" w:cs="Times New Roman CYR"/>
          <w:sz w:val="24"/>
          <w:szCs w:val="24"/>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Pr>
          <w:rFonts w:ascii="Times New Roman CYR" w:hAnsi="Times New Roman CYR" w:eastAsia="Times New Roman" w:cs="Times New Roman CYR"/>
          <w:color w:val="000000"/>
          <w:sz w:val="24"/>
          <w:szCs w:val="24"/>
          <w:lang w:eastAsia="uk-UA"/>
        </w:rPr>
        <w:t>виконання дій, передбачених постановою</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9 квітня 2022 року №426 </w:t>
      </w:r>
      <w:r>
        <w:rPr>
          <w:rFonts w:ascii="Times New Roman CYR" w:hAnsi="Times New Roman CYR" w:eastAsia="Times New Roman" w:cs="Times New Roman CYR"/>
          <w:b/>
          <w:sz w:val="24"/>
          <w:szCs w:val="24"/>
          <w:lang w:eastAsia="ru-RU"/>
        </w:rPr>
        <w:t>«Про застосування заборони ввезення товарів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територію України товарів з Російської Федерації);</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30 грудня 2015 року №1147 </w:t>
      </w:r>
      <w:r>
        <w:rPr>
          <w:rFonts w:ascii="Times New Roman CYR" w:hAnsi="Times New Roman CYR" w:eastAsia="Times New Roman" w:cs="Times New Roman CYR"/>
          <w:b/>
          <w:sz w:val="24"/>
          <w:szCs w:val="24"/>
          <w:lang w:eastAsia="ru-RU"/>
        </w:rPr>
        <w:t>«Про заборону ввезення на митну територію України товарів, що походять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 xml:space="preserve">Цим листом гарантуємо та підтверджуємо, що на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Не розповсюджується дія Постанови Національного банку України від 24 лютого 2022 року №18 «</w:t>
      </w:r>
      <w:r>
        <w:rPr>
          <w:rFonts w:ascii="Times New Roman CYR" w:hAnsi="Times New Roman CYR" w:eastAsia="Times New Roman" w:cs="Times New Roman CYR"/>
          <w:b/>
          <w:sz w:val="24"/>
          <w:szCs w:val="24"/>
          <w:lang w:eastAsia="ru-RU"/>
        </w:rPr>
        <w:t>Про роботу банківської системи в період запровадження воєнного стану»</w:t>
      </w:r>
      <w:r>
        <w:rPr>
          <w:rFonts w:ascii="Times New Roman CYR" w:hAnsi="Times New Roman CYR" w:eastAsia="Times New Roman" w:cs="Times New Roman CYR"/>
          <w:sz w:val="24"/>
          <w:szCs w:val="24"/>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Гарантуємо та підтверджуємо, що Учасник</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громадянином Російської Федерації/Республіки Білорусь (крім тих, що проживають на території України на законних підставах);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 </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законодавством.</w:t>
      </w:r>
    </w:p>
    <w:p>
      <w:pPr>
        <w:spacing w:after="0"/>
        <w:jc w:val="both"/>
        <w:rPr>
          <w:rFonts w:ascii="Times New Roman" w:hAnsi="Times New Roman" w:cs="Times New Roman"/>
          <w:sz w:val="24"/>
          <w:szCs w:val="24"/>
        </w:rPr>
      </w:pPr>
    </w:p>
    <w:p>
      <w:pPr>
        <w:widowControl w:val="0"/>
        <w:shd w:val="clear" w:color="auto" w:fill="FFFFFF"/>
        <w:autoSpaceDN w:val="0"/>
        <w:spacing w:after="0" w:line="240" w:lineRule="auto"/>
        <w:ind w:left="7230"/>
        <w:jc w:val="right"/>
        <w:textAlignment w:val="baseline"/>
        <w:rPr>
          <w:rFonts w:ascii="Times New Roman" w:hAnsi="Times New Roman" w:eastAsia="Lucida Sans Unicode" w:cs="Times New Roman"/>
          <w:b/>
          <w:kern w:val="3"/>
          <w:sz w:val="24"/>
          <w:szCs w:val="24"/>
          <w:lang w:eastAsia="zh-CN" w:bidi="hi-IN"/>
        </w:rPr>
      </w:pPr>
      <w:r>
        <w:rPr>
          <w:rFonts w:ascii="Times New Roman" w:hAnsi="Times New Roman" w:eastAsia="Lucida Sans Unicode" w:cs="Times New Roman"/>
          <w:b/>
          <w:kern w:val="3"/>
          <w:sz w:val="24"/>
          <w:szCs w:val="24"/>
          <w:lang w:eastAsia="zh-CN" w:bidi="hi-IN"/>
        </w:rPr>
        <w:t xml:space="preserve">                      Зразок 5</w:t>
      </w:r>
    </w:p>
    <w:p>
      <w:pPr>
        <w:widowControl w:val="0"/>
        <w:shd w:val="clear" w:color="auto" w:fill="FFFFFF"/>
        <w:autoSpaceDN w:val="0"/>
        <w:spacing w:after="0" w:line="240" w:lineRule="auto"/>
        <w:jc w:val="right"/>
        <w:textAlignment w:val="baseline"/>
        <w:rPr>
          <w:rFonts w:ascii="Times New Roman" w:hAnsi="Times New Roman" w:eastAsia="Lucida Sans Unicode" w:cs="Times New Roman"/>
          <w:kern w:val="3"/>
          <w:sz w:val="24"/>
          <w:szCs w:val="24"/>
          <w:lang w:eastAsia="zh-CN" w:bidi="hi-IN"/>
        </w:rPr>
      </w:pPr>
      <w:r>
        <w:rPr>
          <w:rFonts w:ascii="Times New Roman" w:hAnsi="Times New Roman" w:eastAsia="Lucida Sans Unicode" w:cs="Times New Roman"/>
          <w:kern w:val="3"/>
          <w:sz w:val="24"/>
          <w:szCs w:val="24"/>
          <w:lang w:eastAsia="zh-CN" w:bidi="hi-IN"/>
        </w:rPr>
        <w:t xml:space="preserve">Уповноваженій особі </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Д О В І Д К А</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про залучення субпідрядників/співвиконавців</w:t>
      </w:r>
    </w:p>
    <w:tbl>
      <w:tblPr>
        <w:tblStyle w:val="3"/>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3261"/>
        <w:gridCol w:w="2126"/>
        <w:gridCol w:w="198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з/п</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Найменування та код за ЄДРПОУ суб'єкта господарювання, якого учасник планує залучати до виконання робіт/надання послуг як субпідрядника/співвиконавця</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lang w:eastAsia="zh-CN"/>
              </w:rPr>
              <w:t xml:space="preserve">Місцезнаходження </w:t>
            </w:r>
            <w:r>
              <w:rPr>
                <w:rFonts w:ascii="Times New Roman" w:hAnsi="Times New Roman" w:eastAsia="Times New Roman" w:cs="Times New Roman"/>
                <w:snapToGrid w:val="0"/>
                <w:sz w:val="24"/>
                <w:szCs w:val="24"/>
              </w:rPr>
              <w:t>субпідрядника/ співвиконавця</w:t>
            </w:r>
          </w:p>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 (повна адреса, телефони)</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Види  робіт/послуг або обсяги, які передбачається доручити субпідряднику/ </w:t>
            </w:r>
            <w:r>
              <w:rPr>
                <w:rFonts w:ascii="Times New Roman" w:hAnsi="Times New Roman" w:eastAsia="Times New Roman" w:cs="Times New Roman"/>
                <w:snapToGrid w:val="0"/>
                <w:sz w:val="24"/>
                <w:szCs w:val="24"/>
              </w:rPr>
              <w:t>співвиконавцю</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Відсоток в загальному обсязі робіт/послуг,  які передбачається доручити субпідряднику/ </w:t>
            </w:r>
            <w:r>
              <w:rPr>
                <w:rFonts w:ascii="Times New Roman" w:hAnsi="Times New Roman" w:eastAsia="Times New Roman" w:cs="Times New Roman"/>
                <w:snapToGrid w:val="0"/>
                <w:sz w:val="24"/>
                <w:szCs w:val="24"/>
              </w:rPr>
              <w:t>співвиконавцю</w:t>
            </w:r>
            <w:r>
              <w:rPr>
                <w:rFonts w:ascii="Times New Roman" w:hAnsi="Times New Roman" w:eastAsia="Times New Roman" w:cs="Times New Roman"/>
                <w:snapToGrid w:val="0"/>
                <w:sz w:val="24"/>
                <w:szCs w:val="24"/>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1</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2</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3</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4</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b/>
                <w:snapToGrid w:val="0"/>
                <w:sz w:val="24"/>
                <w:szCs w:val="24"/>
                <w:lang w:eastAsia="zh-CN"/>
              </w:rPr>
            </w:pPr>
          </w:p>
        </w:tc>
      </w:tr>
    </w:tbl>
    <w:p>
      <w:pPr>
        <w:shd w:val="clear" w:color="auto" w:fill="FFFFFF"/>
        <w:spacing w:before="20" w:after="20" w:line="240" w:lineRule="auto"/>
        <w:ind w:left="-57" w:right="-57" w:firstLine="567"/>
        <w:jc w:val="both"/>
        <w:rPr>
          <w:rFonts w:ascii="Times New Roman" w:hAnsi="Times New Roman" w:eastAsia="Times New Roman" w:cs="Times New Roman"/>
          <w:i/>
          <w:snapToGrid w:val="0"/>
          <w:sz w:val="24"/>
          <w:szCs w:val="24"/>
          <w:lang w:eastAsia="ru-RU"/>
        </w:rPr>
      </w:pPr>
    </w:p>
    <w:p>
      <w:pPr>
        <w:tabs>
          <w:tab w:val="left" w:pos="708"/>
          <w:tab w:val="center" w:pos="4677"/>
          <w:tab w:val="right" w:pos="9355"/>
        </w:tabs>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snapToGrid w:val="0"/>
          <w:sz w:val="24"/>
          <w:szCs w:val="24"/>
          <w:lang w:eastAsia="ru-RU"/>
        </w:rPr>
        <w:t xml:space="preserve">Посада, прізвище, ініціали, підпис уповноваженої особи Учасника, завірені печаткою (у разі наявності)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Pr>
          <w:rFonts w:ascii="Times New Roman" w:hAnsi="Times New Roman" w:eastAsia="Times New Roman" w:cs="Times New Roman"/>
          <w:color w:val="00000A"/>
          <w:sz w:val="24"/>
          <w:szCs w:val="24"/>
          <w:lang w:eastAsia="ru-RU"/>
        </w:rPr>
        <w:t xml:space="preserve">Постанови КМУ «Про реалізацію експериментального проекту щодо забезпечення можливості використання удосконалених електронних </w:t>
      </w:r>
      <w:r>
        <w:rPr>
          <w:rFonts w:ascii="Times New Roman" w:hAnsi="Times New Roman" w:eastAsia="Times New Roman" w:cs="Times New Roman"/>
          <w:sz w:val="24"/>
          <w:szCs w:val="24"/>
          <w:lang w:eastAsia="ru-RU"/>
        </w:rPr>
        <w:t>підписів і печаток, які базуються на кваліфікованих сертифікатах відкритих ключів» та Постанови КМУ «Деякі питання забезпечення безперебійного функціонування системи надання електронних довірчих послуг» (зі змінами)</w:t>
      </w:r>
      <w:r>
        <w:rPr>
          <w:rFonts w:ascii="Times New Roman" w:hAnsi="Times New Roman" w:eastAsia="Times New Roman" w:cs="Times New Roman"/>
          <w:sz w:val="24"/>
          <w:szCs w:val="24"/>
          <w:lang w:val="ru-RU" w:eastAsia="ru-RU"/>
        </w:rPr>
        <w:t>.</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tiqua">
    <w:altName w:val="Century Gothic"/>
    <w:panose1 w:val="00000000000000000000"/>
    <w:charset w:val="00"/>
    <w:family w:val="swiss"/>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5"/>
        <w:jc w:val="both"/>
        <w:rPr>
          <w:sz w:val="18"/>
          <w:szCs w:val="18"/>
        </w:rPr>
      </w:pPr>
      <w:r>
        <w:rPr>
          <w:rStyle w:val="4"/>
        </w:rPr>
        <w:t>5</w:t>
      </w:r>
      <w:r>
        <w:t xml:space="preserve">  </w:t>
      </w: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підставі для відхилення згідно пункту 47 Особливостей щодо обох таких повноважених собі 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25A9F"/>
    <w:multiLevelType w:val="multilevel"/>
    <w:tmpl w:val="32425A9F"/>
    <w:lvl w:ilvl="0" w:tentative="0">
      <w:start w:val="1"/>
      <w:numFmt w:val="decimal"/>
      <w:lvlText w:val="%1."/>
      <w:lvlJc w:val="left"/>
      <w:pPr>
        <w:ind w:left="360" w:hanging="360"/>
      </w:pPr>
      <w:rPr>
        <w:rFonts w:hint="default"/>
      </w:rPr>
    </w:lvl>
    <w:lvl w:ilvl="1" w:tentative="0">
      <w:start w:val="9"/>
      <w:numFmt w:val="decimal"/>
      <w:lvlText w:val="%1.%2."/>
      <w:lvlJc w:val="left"/>
      <w:pPr>
        <w:ind w:left="502"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146" w:hanging="72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1790" w:hanging="108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434" w:hanging="1440"/>
      </w:pPr>
      <w:rPr>
        <w:rFonts w:hint="default"/>
      </w:rPr>
    </w:lvl>
    <w:lvl w:ilvl="8" w:tentative="0">
      <w:start w:val="1"/>
      <w:numFmt w:val="decimal"/>
      <w:lvlText w:val="%1.%2.%3.%4.%5.%6.%7.%8.%9."/>
      <w:lvlJc w:val="left"/>
      <w:pPr>
        <w:ind w:left="2936" w:hanging="1800"/>
      </w:pPr>
      <w:rPr>
        <w:rFonts w:hint="default"/>
      </w:rPr>
    </w:lvl>
  </w:abstractNum>
  <w:abstractNum w:abstractNumId="1">
    <w:nsid w:val="74DA3088"/>
    <w:multiLevelType w:val="multilevel"/>
    <w:tmpl w:val="74DA3088"/>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82"/>
    <w:rsid w:val="00036201"/>
    <w:rsid w:val="00084CB8"/>
    <w:rsid w:val="000A5C66"/>
    <w:rsid w:val="00122BBC"/>
    <w:rsid w:val="0032432E"/>
    <w:rsid w:val="005E4AFE"/>
    <w:rsid w:val="00677C81"/>
    <w:rsid w:val="007B52A3"/>
    <w:rsid w:val="00815A50"/>
    <w:rsid w:val="00891C35"/>
    <w:rsid w:val="008D0C37"/>
    <w:rsid w:val="008D697B"/>
    <w:rsid w:val="009E393C"/>
    <w:rsid w:val="00A23133"/>
    <w:rsid w:val="00A71AAD"/>
    <w:rsid w:val="00C74982"/>
    <w:rsid w:val="00C8180E"/>
    <w:rsid w:val="00DA6C40"/>
    <w:rsid w:val="00E44923"/>
    <w:rsid w:val="00EE2E94"/>
    <w:rsid w:val="00F2238B"/>
    <w:rsid w:val="00F3508A"/>
    <w:rsid w:val="00F73F77"/>
    <w:rsid w:val="00F87600"/>
    <w:rsid w:val="00F9395A"/>
    <w:rsid w:val="00FF07F5"/>
    <w:rsid w:val="0E5C123A"/>
    <w:rsid w:val="19F81E92"/>
    <w:rsid w:val="435D425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unhideWhenUsed/>
    <w:uiPriority w:val="99"/>
    <w:rPr>
      <w:vertAlign w:val="superscript"/>
    </w:rPr>
  </w:style>
  <w:style w:type="paragraph" w:styleId="5">
    <w:name w:val="footnote text"/>
    <w:basedOn w:val="1"/>
    <w:link w:val="11"/>
    <w:unhideWhenUsed/>
    <w:uiPriority w:val="99"/>
    <w:pPr>
      <w:spacing w:after="0" w:line="240" w:lineRule="auto"/>
    </w:pPr>
    <w:rPr>
      <w:rFonts w:ascii="Times New Roman" w:hAnsi="Times New Roman" w:eastAsia="Times New Roman" w:cs="Times New Roman"/>
      <w:sz w:val="20"/>
      <w:szCs w:val="20"/>
      <w:lang w:eastAsia="uk-UA"/>
    </w:rPr>
  </w:style>
  <w:style w:type="character" w:styleId="6">
    <w:name w:val="Hyperlink"/>
    <w:uiPriority w:val="99"/>
    <w:rPr>
      <w:color w:val="0000FF"/>
      <w:u w:val="single"/>
    </w:rPr>
  </w:style>
  <w:style w:type="paragraph" w:customStyle="1" w:styleId="7">
    <w:name w:val="Нормальний текст"/>
    <w:basedOn w:val="1"/>
    <w:uiPriority w:val="0"/>
    <w:pPr>
      <w:spacing w:before="120" w:after="0" w:line="240" w:lineRule="auto"/>
      <w:ind w:firstLine="567"/>
    </w:pPr>
    <w:rPr>
      <w:rFonts w:ascii="Antiqua" w:hAnsi="Antiqua" w:eastAsia="Times New Roman" w:cs="Times New Roman"/>
      <w:sz w:val="26"/>
      <w:szCs w:val="20"/>
      <w:lang w:eastAsia="ru-RU"/>
    </w:rPr>
  </w:style>
  <w:style w:type="paragraph" w:styleId="8">
    <w:name w:val="List Paragraph"/>
    <w:basedOn w:val="1"/>
    <w:link w:val="10"/>
    <w:qFormat/>
    <w:uiPriority w:val="34"/>
    <w:pPr>
      <w:autoSpaceDE w:val="0"/>
      <w:autoSpaceDN w:val="0"/>
      <w:adjustRightInd w:val="0"/>
      <w:spacing w:after="0" w:line="240" w:lineRule="auto"/>
      <w:ind w:left="720"/>
      <w:contextualSpacing/>
    </w:pPr>
    <w:rPr>
      <w:rFonts w:ascii="Times New Roman CYR" w:hAnsi="Times New Roman CYR" w:eastAsia="Times New Roman" w:cs="Times New Roman"/>
      <w:sz w:val="24"/>
      <w:szCs w:val="24"/>
      <w:lang w:val="ru-RU" w:eastAsia="ru-RU"/>
    </w:rPr>
  </w:style>
  <w:style w:type="paragraph" w:customStyle="1" w:styleId="9">
    <w:name w:val="rvps2"/>
    <w:basedOn w:val="1"/>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10">
    <w:name w:val="Абзац списка Знак"/>
    <w:link w:val="8"/>
    <w:locked/>
    <w:uiPriority w:val="34"/>
    <w:rPr>
      <w:rFonts w:ascii="Times New Roman CYR" w:hAnsi="Times New Roman CYR" w:eastAsia="Times New Roman" w:cs="Times New Roman"/>
      <w:sz w:val="24"/>
      <w:szCs w:val="24"/>
      <w:lang w:val="ru-RU" w:eastAsia="ru-RU"/>
    </w:rPr>
  </w:style>
  <w:style w:type="character" w:customStyle="1" w:styleId="11">
    <w:name w:val="Текст сноски Знак"/>
    <w:basedOn w:val="2"/>
    <w:link w:val="5"/>
    <w:uiPriority w:val="99"/>
    <w:rPr>
      <w:rFonts w:ascii="Times New Roman" w:hAnsi="Times New Roman" w:eastAsia="Times New Roman" w:cs="Times New Roman"/>
      <w:sz w:val="20"/>
      <w:szCs w:val="20"/>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2560</Words>
  <Characters>14592</Characters>
  <Lines>121</Lines>
  <Paragraphs>34</Paragraphs>
  <TotalTime>1</TotalTime>
  <ScaleCrop>false</ScaleCrop>
  <LinksUpToDate>false</LinksUpToDate>
  <CharactersWithSpaces>17118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2023-12-10T15:14:00Z</dcterms:created>
  <dc:creator>Vecheruk vecheruk</dc:creator>
  <cp:lastModifiedBy>Таня</cp:lastModifiedBy>
  <dcterms:modified xsi:type="dcterms:W3CDTF">2024-01-27T16:00:56Z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3EE6636E971E46CF9480602410E1E478_13</vt:lpwstr>
  </property>
</Properties>
</file>