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8ED9" w14:textId="77777777" w:rsidR="0022430B" w:rsidRPr="000F7AA5" w:rsidRDefault="00A96B26" w:rsidP="0022430B">
      <w:pPr>
        <w:jc w:val="center"/>
        <w:textAlignment w:val="top"/>
        <w:rPr>
          <w:rFonts w:eastAsia="Times New Roman"/>
          <w:b/>
          <w:sz w:val="18"/>
          <w:szCs w:val="18"/>
        </w:rPr>
      </w:pPr>
      <w:r w:rsidRPr="000F7AA5">
        <w:rPr>
          <w:rFonts w:eastAsia="Times New Roman"/>
          <w:b/>
          <w:sz w:val="18"/>
          <w:szCs w:val="18"/>
        </w:rPr>
        <w:t xml:space="preserve">Оголошення про проведення відкритих торгів </w:t>
      </w:r>
    </w:p>
    <w:p w14:paraId="4A401B69" w14:textId="77777777" w:rsidR="00BE6648" w:rsidRPr="000F7AA5" w:rsidRDefault="00BE6648" w:rsidP="0022430B">
      <w:pPr>
        <w:jc w:val="center"/>
        <w:textAlignment w:val="top"/>
        <w:rPr>
          <w:rFonts w:eastAsia="Times New Roman"/>
          <w:b/>
          <w:sz w:val="18"/>
          <w:szCs w:val="1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04B3D" w:rsidRPr="000F7AA5" w14:paraId="23755BCB" w14:textId="77777777" w:rsidTr="00FF3189">
        <w:tc>
          <w:tcPr>
            <w:tcW w:w="4139" w:type="dxa"/>
            <w:vAlign w:val="center"/>
            <w:hideMark/>
          </w:tcPr>
          <w:p w14:paraId="1868594C" w14:textId="77777777" w:rsidR="000F1459" w:rsidRPr="000F7AA5" w:rsidRDefault="000F1459" w:rsidP="000F1459">
            <w:pPr>
              <w:spacing w:after="120"/>
              <w:textAlignment w:val="top"/>
              <w:rPr>
                <w:rFonts w:eastAsia="Times New Roman"/>
                <w:bCs/>
                <w:sz w:val="18"/>
                <w:szCs w:val="18"/>
              </w:rPr>
            </w:pPr>
            <w:r w:rsidRPr="000F7AA5">
              <w:rPr>
                <w:rFonts w:eastAsia="Times New Roman"/>
                <w:bCs/>
                <w:sz w:val="18"/>
                <w:szCs w:val="18"/>
              </w:rPr>
              <w:t>1. Найменування замовника:</w:t>
            </w:r>
          </w:p>
        </w:tc>
        <w:tc>
          <w:tcPr>
            <w:tcW w:w="5797" w:type="dxa"/>
            <w:vAlign w:val="center"/>
          </w:tcPr>
          <w:p w14:paraId="76367D64" w14:textId="77777777" w:rsidR="000F1459" w:rsidRPr="000F7AA5" w:rsidRDefault="00CC2367" w:rsidP="000F1459">
            <w:pPr>
              <w:rPr>
                <w:rFonts w:eastAsia="Times New Roman"/>
                <w:sz w:val="18"/>
                <w:szCs w:val="18"/>
                <w:lang w:eastAsia="ru-RU"/>
              </w:rPr>
            </w:pPr>
            <w:r w:rsidRPr="000F7AA5">
              <w:rPr>
                <w:b/>
                <w:sz w:val="18"/>
                <w:szCs w:val="18"/>
              </w:rPr>
              <w:t>Комунальне некомерційне підприємство «Подільський регіональний центр онкології Вінницької обласної Ради»</w:t>
            </w:r>
          </w:p>
        </w:tc>
      </w:tr>
      <w:tr w:rsidR="00704B3D" w:rsidRPr="000F7AA5" w14:paraId="0F6826CA" w14:textId="77777777" w:rsidTr="00FF3189">
        <w:tc>
          <w:tcPr>
            <w:tcW w:w="4139" w:type="dxa"/>
            <w:vAlign w:val="center"/>
            <w:hideMark/>
          </w:tcPr>
          <w:p w14:paraId="684F34F7" w14:textId="77777777" w:rsidR="00A96B26" w:rsidRPr="000F7AA5" w:rsidRDefault="00A96B26" w:rsidP="00AA3DAF">
            <w:pPr>
              <w:spacing w:after="120"/>
              <w:textAlignment w:val="top"/>
              <w:rPr>
                <w:rFonts w:eastAsia="Times New Roman"/>
                <w:bCs/>
                <w:sz w:val="18"/>
                <w:szCs w:val="18"/>
              </w:rPr>
            </w:pPr>
            <w:r w:rsidRPr="000F7AA5">
              <w:rPr>
                <w:rFonts w:eastAsia="Times New Roman"/>
                <w:bCs/>
                <w:sz w:val="18"/>
                <w:szCs w:val="18"/>
              </w:rPr>
              <w:t>1</w:t>
            </w:r>
            <w:r w:rsidRPr="000F7AA5">
              <w:rPr>
                <w:rFonts w:eastAsia="Times New Roman"/>
                <w:bCs/>
                <w:sz w:val="18"/>
                <w:szCs w:val="18"/>
                <w:vertAlign w:val="superscript"/>
              </w:rPr>
              <w:t>1</w:t>
            </w:r>
            <w:r w:rsidRPr="000F7AA5">
              <w:rPr>
                <w:rFonts w:eastAsia="Times New Roman"/>
                <w:bCs/>
                <w:sz w:val="18"/>
                <w:szCs w:val="18"/>
              </w:rPr>
              <w:t>. Місцезнаходження замовника:</w:t>
            </w:r>
          </w:p>
        </w:tc>
        <w:tc>
          <w:tcPr>
            <w:tcW w:w="5797" w:type="dxa"/>
            <w:vAlign w:val="center"/>
          </w:tcPr>
          <w:p w14:paraId="41AFC6BD" w14:textId="77777777" w:rsidR="00A96B26" w:rsidRPr="000F7AA5" w:rsidRDefault="00CC2367" w:rsidP="00AA3DAF">
            <w:pPr>
              <w:rPr>
                <w:rFonts w:eastAsia="Times New Roman"/>
                <w:sz w:val="18"/>
                <w:szCs w:val="18"/>
                <w:lang w:eastAsia="ru-RU"/>
              </w:rPr>
            </w:pPr>
            <w:r w:rsidRPr="000F7AA5">
              <w:rPr>
                <w:rFonts w:cs="Calibri"/>
                <w:b/>
                <w:sz w:val="18"/>
                <w:szCs w:val="18"/>
              </w:rPr>
              <w:t>Україна, 21029, м. Вінниця, Хмельницьке шосе, 84</w:t>
            </w:r>
          </w:p>
        </w:tc>
      </w:tr>
      <w:tr w:rsidR="00704B3D" w:rsidRPr="000F7AA5" w14:paraId="6C4D215A" w14:textId="77777777" w:rsidTr="00FF3189">
        <w:tc>
          <w:tcPr>
            <w:tcW w:w="4139" w:type="dxa"/>
            <w:vAlign w:val="center"/>
            <w:hideMark/>
          </w:tcPr>
          <w:p w14:paraId="29A4DCF7" w14:textId="77777777" w:rsidR="00A96B26" w:rsidRPr="000F7AA5" w:rsidRDefault="00A96B26" w:rsidP="00A96B26">
            <w:pPr>
              <w:spacing w:after="120"/>
              <w:textAlignment w:val="top"/>
              <w:rPr>
                <w:rFonts w:eastAsia="Times New Roman"/>
                <w:bCs/>
                <w:sz w:val="18"/>
                <w:szCs w:val="18"/>
              </w:rPr>
            </w:pPr>
            <w:r w:rsidRPr="000F7AA5">
              <w:rPr>
                <w:rFonts w:eastAsia="Times New Roman"/>
                <w:bCs/>
                <w:sz w:val="18"/>
                <w:szCs w:val="18"/>
              </w:rPr>
              <w:t>1</w:t>
            </w:r>
            <w:r w:rsidRPr="000F7AA5">
              <w:rPr>
                <w:rFonts w:eastAsia="Times New Roman"/>
                <w:bCs/>
                <w:sz w:val="18"/>
                <w:szCs w:val="18"/>
                <w:vertAlign w:val="superscript"/>
              </w:rPr>
              <w:t>2</w:t>
            </w:r>
            <w:r w:rsidRPr="000F7AA5">
              <w:rPr>
                <w:rFonts w:eastAsia="Times New Roman"/>
                <w:bCs/>
                <w:sz w:val="18"/>
                <w:szCs w:val="18"/>
              </w:rPr>
              <w:t>. Код згідно з ЄДРПОУ замовника:</w:t>
            </w:r>
          </w:p>
        </w:tc>
        <w:tc>
          <w:tcPr>
            <w:tcW w:w="5797" w:type="dxa"/>
            <w:vAlign w:val="center"/>
          </w:tcPr>
          <w:p w14:paraId="34BDB172" w14:textId="77777777" w:rsidR="00A96B26" w:rsidRPr="000F7AA5" w:rsidRDefault="00CC2367" w:rsidP="000F1459">
            <w:pPr>
              <w:rPr>
                <w:rFonts w:eastAsia="Times New Roman"/>
                <w:sz w:val="18"/>
                <w:szCs w:val="18"/>
                <w:lang w:eastAsia="ru-RU"/>
              </w:rPr>
            </w:pPr>
            <w:r w:rsidRPr="000F7AA5">
              <w:rPr>
                <w:b/>
                <w:sz w:val="18"/>
                <w:szCs w:val="18"/>
              </w:rPr>
              <w:t>05484161</w:t>
            </w:r>
          </w:p>
        </w:tc>
      </w:tr>
      <w:tr w:rsidR="00704B3D" w:rsidRPr="000F7AA5" w14:paraId="605397F2" w14:textId="77777777" w:rsidTr="00FF3189">
        <w:tc>
          <w:tcPr>
            <w:tcW w:w="4139" w:type="dxa"/>
            <w:vAlign w:val="center"/>
            <w:hideMark/>
          </w:tcPr>
          <w:p w14:paraId="660569B6" w14:textId="77777777" w:rsidR="00A96B26" w:rsidRPr="000F7AA5" w:rsidRDefault="00A96B26" w:rsidP="00A96B26">
            <w:pPr>
              <w:spacing w:after="120"/>
              <w:textAlignment w:val="top"/>
              <w:rPr>
                <w:rFonts w:eastAsia="Times New Roman"/>
                <w:bCs/>
                <w:sz w:val="18"/>
                <w:szCs w:val="18"/>
              </w:rPr>
            </w:pPr>
            <w:r w:rsidRPr="000F7AA5">
              <w:rPr>
                <w:rFonts w:eastAsia="Times New Roman"/>
                <w:bCs/>
                <w:sz w:val="18"/>
                <w:szCs w:val="18"/>
              </w:rPr>
              <w:t>1</w:t>
            </w:r>
            <w:r w:rsidRPr="000F7AA5">
              <w:rPr>
                <w:rFonts w:eastAsia="Times New Roman"/>
                <w:bCs/>
                <w:sz w:val="18"/>
                <w:szCs w:val="18"/>
                <w:vertAlign w:val="superscript"/>
              </w:rPr>
              <w:t>3</w:t>
            </w:r>
            <w:r w:rsidRPr="000F7AA5">
              <w:rPr>
                <w:rFonts w:eastAsia="Times New Roman"/>
                <w:bCs/>
                <w:sz w:val="18"/>
                <w:szCs w:val="18"/>
              </w:rPr>
              <w:t>. Категорія замовника:</w:t>
            </w:r>
          </w:p>
        </w:tc>
        <w:tc>
          <w:tcPr>
            <w:tcW w:w="5797" w:type="dxa"/>
            <w:vAlign w:val="center"/>
          </w:tcPr>
          <w:p w14:paraId="78B55A3C" w14:textId="77777777" w:rsidR="00A96B26" w:rsidRPr="000F7AA5" w:rsidRDefault="00CC2367" w:rsidP="000F1459">
            <w:pPr>
              <w:rPr>
                <w:rFonts w:eastAsia="Times New Roman"/>
                <w:sz w:val="18"/>
                <w:szCs w:val="18"/>
                <w:lang w:eastAsia="ru-RU"/>
              </w:rPr>
            </w:pPr>
            <w:r w:rsidRPr="000F7AA5">
              <w:rPr>
                <w:b/>
                <w:sz w:val="18"/>
                <w:szCs w:val="18"/>
              </w:rPr>
              <w:t>Підприємства, установи, організації, зазначені у пункті 3 частини першої статті 2 Закону України «Про публічні закупівлі»</w:t>
            </w:r>
          </w:p>
        </w:tc>
      </w:tr>
      <w:tr w:rsidR="00D6709C" w:rsidRPr="000F7AA5" w14:paraId="632BEE4B" w14:textId="77777777" w:rsidTr="00FF3189">
        <w:tc>
          <w:tcPr>
            <w:tcW w:w="4139" w:type="dxa"/>
            <w:vAlign w:val="center"/>
            <w:hideMark/>
          </w:tcPr>
          <w:p w14:paraId="01F90B57" w14:textId="77777777" w:rsidR="00D6709C" w:rsidRPr="000F7AA5" w:rsidRDefault="00D6709C" w:rsidP="00EC1376">
            <w:pPr>
              <w:spacing w:after="120"/>
              <w:textAlignment w:val="top"/>
              <w:rPr>
                <w:rFonts w:eastAsia="Times New Roman"/>
                <w:bCs/>
                <w:sz w:val="18"/>
                <w:szCs w:val="18"/>
              </w:rPr>
            </w:pPr>
            <w:r w:rsidRPr="000F7AA5">
              <w:rPr>
                <w:rFonts w:eastAsia="Times New Roman"/>
                <w:bCs/>
                <w:sz w:val="18"/>
                <w:szCs w:val="18"/>
              </w:rPr>
              <w:t>2. Назва предмету закупівлі :</w:t>
            </w:r>
          </w:p>
        </w:tc>
        <w:tc>
          <w:tcPr>
            <w:tcW w:w="5797" w:type="dxa"/>
            <w:vAlign w:val="center"/>
          </w:tcPr>
          <w:p w14:paraId="4A34B5B6" w14:textId="78563DD9" w:rsidR="00D6709C" w:rsidRPr="000F7AA5" w:rsidRDefault="00D732DD" w:rsidP="00FE2422">
            <w:pPr>
              <w:jc w:val="both"/>
              <w:rPr>
                <w:sz w:val="18"/>
                <w:szCs w:val="18"/>
              </w:rPr>
            </w:pPr>
            <w:r w:rsidRPr="00D732DD">
              <w:rPr>
                <w:b/>
                <w:bCs/>
                <w:sz w:val="18"/>
                <w:szCs w:val="18"/>
                <w:shd w:val="clear" w:color="auto" w:fill="FFFFFF"/>
              </w:rPr>
              <w:t>«Радіоізотопна (радіоактивна) продукція» (MDP та DMSA) (класифікація за ДК 021:2015: код 24310000-0 – Основні неорганічні хімічні речовини)</w:t>
            </w:r>
          </w:p>
        </w:tc>
      </w:tr>
      <w:tr w:rsidR="00704B3D" w:rsidRPr="000F7AA5" w14:paraId="7D37C8E8" w14:textId="77777777" w:rsidTr="00FF3189">
        <w:tc>
          <w:tcPr>
            <w:tcW w:w="4139" w:type="dxa"/>
            <w:vAlign w:val="center"/>
            <w:hideMark/>
          </w:tcPr>
          <w:p w14:paraId="2761A8A9" w14:textId="77777777" w:rsidR="00EC1376" w:rsidRPr="000F7AA5" w:rsidRDefault="00EC1376" w:rsidP="00EC1376">
            <w:pPr>
              <w:spacing w:after="120"/>
              <w:jc w:val="both"/>
              <w:textAlignment w:val="top"/>
              <w:rPr>
                <w:rFonts w:eastAsia="Times New Roman"/>
                <w:bCs/>
                <w:sz w:val="18"/>
                <w:szCs w:val="18"/>
              </w:rPr>
            </w:pPr>
            <w:r w:rsidRPr="000F7AA5">
              <w:rPr>
                <w:rFonts w:eastAsia="Times New Roman"/>
                <w:bCs/>
                <w:sz w:val="18"/>
                <w:szCs w:val="18"/>
              </w:rPr>
              <w:t>3. Кількість товарів або обсяг виконання робіт чи надання послуг:</w:t>
            </w:r>
          </w:p>
        </w:tc>
        <w:tc>
          <w:tcPr>
            <w:tcW w:w="5797" w:type="dxa"/>
            <w:vAlign w:val="center"/>
          </w:tcPr>
          <w:p w14:paraId="263AC433" w14:textId="48EF9DDF" w:rsidR="00B74733" w:rsidRPr="000F7AA5" w:rsidRDefault="00B74733" w:rsidP="00B74733">
            <w:pPr>
              <w:jc w:val="both"/>
              <w:rPr>
                <w:b/>
                <w:sz w:val="18"/>
                <w:szCs w:val="18"/>
                <w:shd w:val="clear" w:color="auto" w:fill="FFFFFF"/>
              </w:rPr>
            </w:pPr>
            <w:r w:rsidRPr="000F7AA5">
              <w:rPr>
                <w:b/>
                <w:sz w:val="18"/>
                <w:szCs w:val="18"/>
                <w:shd w:val="clear" w:color="auto" w:fill="FFFFFF"/>
              </w:rPr>
              <w:t>Кількість:</w:t>
            </w:r>
          </w:p>
          <w:p w14:paraId="66839A92" w14:textId="77777777" w:rsidR="00D732DD" w:rsidRDefault="00D732DD" w:rsidP="001660D9">
            <w:pPr>
              <w:jc w:val="both"/>
              <w:rPr>
                <w:rFonts w:eastAsia="Times New Roman"/>
                <w:b/>
                <w:bCs/>
                <w:sz w:val="18"/>
                <w:szCs w:val="18"/>
                <w:lang w:eastAsia="ru-RU"/>
              </w:rPr>
            </w:pPr>
            <w:r w:rsidRPr="00D732DD">
              <w:rPr>
                <w:rFonts w:eastAsia="Times New Roman"/>
                <w:b/>
                <w:bCs/>
                <w:sz w:val="18"/>
                <w:szCs w:val="18"/>
                <w:lang w:eastAsia="ru-RU"/>
              </w:rPr>
              <w:t>MDP</w:t>
            </w:r>
            <w:r>
              <w:rPr>
                <w:rFonts w:eastAsia="Times New Roman"/>
                <w:b/>
                <w:bCs/>
                <w:sz w:val="18"/>
                <w:szCs w:val="18"/>
                <w:lang w:eastAsia="ru-RU"/>
              </w:rPr>
              <w:t>- 6 наборів</w:t>
            </w:r>
          </w:p>
          <w:p w14:paraId="68902712" w14:textId="101DF534" w:rsidR="00CB73B3" w:rsidRPr="000F7AA5" w:rsidRDefault="00D732DD" w:rsidP="001660D9">
            <w:pPr>
              <w:jc w:val="both"/>
              <w:rPr>
                <w:rFonts w:eastAsia="Times New Roman"/>
                <w:b/>
                <w:bCs/>
                <w:sz w:val="18"/>
                <w:szCs w:val="18"/>
                <w:lang w:eastAsia="ru-RU"/>
              </w:rPr>
            </w:pPr>
            <w:r w:rsidRPr="00D732DD">
              <w:rPr>
                <w:rFonts w:eastAsia="Times New Roman"/>
                <w:b/>
                <w:bCs/>
                <w:sz w:val="18"/>
                <w:szCs w:val="18"/>
                <w:lang w:eastAsia="ru-RU"/>
              </w:rPr>
              <w:t>DMSA</w:t>
            </w:r>
            <w:r>
              <w:rPr>
                <w:rFonts w:eastAsia="Times New Roman"/>
                <w:b/>
                <w:bCs/>
                <w:sz w:val="18"/>
                <w:szCs w:val="18"/>
                <w:lang w:eastAsia="ru-RU"/>
              </w:rPr>
              <w:t>- 1 набір.</w:t>
            </w:r>
            <w:r w:rsidR="001660D9" w:rsidRPr="000F7AA5">
              <w:rPr>
                <w:rFonts w:eastAsia="Times New Roman"/>
                <w:b/>
                <w:bCs/>
                <w:sz w:val="18"/>
                <w:szCs w:val="18"/>
                <w:lang w:eastAsia="ru-RU"/>
              </w:rPr>
              <w:tab/>
            </w:r>
          </w:p>
        </w:tc>
      </w:tr>
      <w:tr w:rsidR="00704B3D" w:rsidRPr="000F7AA5" w14:paraId="043BE7F2" w14:textId="77777777" w:rsidTr="00FF3189">
        <w:tc>
          <w:tcPr>
            <w:tcW w:w="4139" w:type="dxa"/>
            <w:vAlign w:val="center"/>
            <w:hideMark/>
          </w:tcPr>
          <w:p w14:paraId="602377A5" w14:textId="77777777" w:rsidR="00EC1376" w:rsidRPr="000F7AA5" w:rsidRDefault="00EC1376" w:rsidP="00EC1376">
            <w:pPr>
              <w:spacing w:after="120"/>
              <w:jc w:val="both"/>
              <w:textAlignment w:val="top"/>
              <w:rPr>
                <w:rFonts w:eastAsia="Times New Roman"/>
                <w:bCs/>
                <w:sz w:val="18"/>
                <w:szCs w:val="18"/>
              </w:rPr>
            </w:pPr>
            <w:r w:rsidRPr="000F7AA5">
              <w:rPr>
                <w:rFonts w:eastAsia="Times New Roman"/>
                <w:bCs/>
                <w:sz w:val="18"/>
                <w:szCs w:val="18"/>
              </w:rPr>
              <w:t>3</w:t>
            </w:r>
            <w:r w:rsidRPr="000F7AA5">
              <w:rPr>
                <w:rFonts w:eastAsia="Times New Roman"/>
                <w:bCs/>
                <w:sz w:val="18"/>
                <w:szCs w:val="18"/>
                <w:vertAlign w:val="superscript"/>
              </w:rPr>
              <w:t>1</w:t>
            </w:r>
            <w:r w:rsidRPr="000F7AA5">
              <w:rPr>
                <w:rFonts w:eastAsia="Times New Roman"/>
                <w:bCs/>
                <w:sz w:val="18"/>
                <w:szCs w:val="18"/>
              </w:rPr>
              <w:t>. Місце поставки товарів або місце виконання робіт чи надання послуг:</w:t>
            </w:r>
          </w:p>
        </w:tc>
        <w:tc>
          <w:tcPr>
            <w:tcW w:w="5797" w:type="dxa"/>
            <w:vAlign w:val="center"/>
          </w:tcPr>
          <w:p w14:paraId="4BB1EF73" w14:textId="77777777" w:rsidR="00EC1376" w:rsidRPr="000F7AA5" w:rsidRDefault="00CC2367" w:rsidP="000F1459">
            <w:pPr>
              <w:rPr>
                <w:rFonts w:eastAsia="Times New Roman"/>
                <w:b/>
                <w:sz w:val="18"/>
                <w:szCs w:val="18"/>
              </w:rPr>
            </w:pPr>
            <w:r w:rsidRPr="000F7AA5">
              <w:rPr>
                <w:rFonts w:cs="Calibri"/>
                <w:b/>
                <w:sz w:val="18"/>
                <w:szCs w:val="18"/>
              </w:rPr>
              <w:t>Україна, 21029, м. Вінниця, Хмельницьке шосе, 84</w:t>
            </w:r>
          </w:p>
        </w:tc>
      </w:tr>
      <w:tr w:rsidR="00704B3D" w:rsidRPr="000F7AA5" w14:paraId="3D9F64DD" w14:textId="77777777" w:rsidTr="00FF3189">
        <w:tc>
          <w:tcPr>
            <w:tcW w:w="4139" w:type="dxa"/>
            <w:vAlign w:val="center"/>
            <w:hideMark/>
          </w:tcPr>
          <w:p w14:paraId="093DE83D" w14:textId="77777777" w:rsidR="00EC1376" w:rsidRPr="000F7AA5" w:rsidRDefault="00EC1376" w:rsidP="00EC1376">
            <w:pPr>
              <w:spacing w:after="120"/>
              <w:jc w:val="both"/>
              <w:textAlignment w:val="top"/>
              <w:rPr>
                <w:rFonts w:eastAsia="Times New Roman"/>
                <w:bCs/>
                <w:sz w:val="18"/>
                <w:szCs w:val="18"/>
              </w:rPr>
            </w:pPr>
            <w:r w:rsidRPr="000F7AA5">
              <w:rPr>
                <w:rFonts w:eastAsia="Times New Roman"/>
                <w:bCs/>
                <w:sz w:val="18"/>
                <w:szCs w:val="18"/>
              </w:rPr>
              <w:t>4. Очікувана вартість закупівлі:</w:t>
            </w:r>
          </w:p>
        </w:tc>
        <w:tc>
          <w:tcPr>
            <w:tcW w:w="5797" w:type="dxa"/>
            <w:vAlign w:val="center"/>
          </w:tcPr>
          <w:p w14:paraId="27031DEA" w14:textId="73C07558" w:rsidR="00EC1376" w:rsidRPr="000F7AA5" w:rsidRDefault="002D4EED" w:rsidP="00482AF0">
            <w:pPr>
              <w:pStyle w:val="rvps2"/>
              <w:shd w:val="clear" w:color="auto" w:fill="FFFFFF"/>
              <w:spacing w:before="0" w:beforeAutospacing="0" w:after="0" w:afterAutospacing="0" w:line="288" w:lineRule="auto"/>
              <w:jc w:val="both"/>
              <w:textAlignment w:val="baseline"/>
              <w:rPr>
                <w:b/>
                <w:sz w:val="18"/>
                <w:szCs w:val="18"/>
                <w:lang w:val="uk-UA"/>
              </w:rPr>
            </w:pPr>
            <w:r>
              <w:rPr>
                <w:b/>
                <w:sz w:val="18"/>
                <w:szCs w:val="18"/>
                <w:lang w:val="uk-UA"/>
              </w:rPr>
              <w:t>4</w:t>
            </w:r>
            <w:r w:rsidR="00482AF0">
              <w:rPr>
                <w:b/>
                <w:sz w:val="18"/>
                <w:szCs w:val="18"/>
                <w:lang w:val="uk-UA"/>
              </w:rPr>
              <w:t>5</w:t>
            </w:r>
            <w:r>
              <w:rPr>
                <w:b/>
                <w:sz w:val="18"/>
                <w:szCs w:val="18"/>
                <w:lang w:val="uk-UA"/>
              </w:rPr>
              <w:t>000</w:t>
            </w:r>
            <w:r w:rsidR="00482AF0">
              <w:rPr>
                <w:b/>
                <w:sz w:val="18"/>
                <w:szCs w:val="18"/>
                <w:lang w:val="uk-UA"/>
              </w:rPr>
              <w:t>,00</w:t>
            </w:r>
            <w:r>
              <w:rPr>
                <w:b/>
                <w:sz w:val="18"/>
                <w:szCs w:val="18"/>
                <w:lang w:val="uk-UA"/>
              </w:rPr>
              <w:t xml:space="preserve"> (Сорок </w:t>
            </w:r>
            <w:r w:rsidR="00482AF0">
              <w:rPr>
                <w:b/>
                <w:sz w:val="18"/>
                <w:szCs w:val="18"/>
                <w:lang w:val="uk-UA"/>
              </w:rPr>
              <w:t>п’ять</w:t>
            </w:r>
            <w:r w:rsidR="00D732DD">
              <w:rPr>
                <w:b/>
                <w:sz w:val="18"/>
                <w:szCs w:val="18"/>
                <w:lang w:val="uk-UA"/>
              </w:rPr>
              <w:t xml:space="preserve"> тисяч </w:t>
            </w:r>
            <w:r w:rsidR="00B74733" w:rsidRPr="000F7AA5">
              <w:rPr>
                <w:b/>
                <w:sz w:val="18"/>
                <w:szCs w:val="18"/>
                <w:lang w:val="uk-UA"/>
              </w:rPr>
              <w:t xml:space="preserve">гривень 00 копійок) з ПДВ. </w:t>
            </w:r>
          </w:p>
        </w:tc>
      </w:tr>
      <w:tr w:rsidR="00704B3D" w:rsidRPr="000F7AA5" w14:paraId="31085E49" w14:textId="77777777" w:rsidTr="00FF3189">
        <w:tc>
          <w:tcPr>
            <w:tcW w:w="4139" w:type="dxa"/>
            <w:vAlign w:val="center"/>
            <w:hideMark/>
          </w:tcPr>
          <w:p w14:paraId="26ED375F" w14:textId="77777777" w:rsidR="00EC1376" w:rsidRPr="000F7AA5" w:rsidRDefault="00EC1376" w:rsidP="00EC1376">
            <w:pPr>
              <w:spacing w:after="120"/>
              <w:jc w:val="both"/>
              <w:textAlignment w:val="top"/>
              <w:rPr>
                <w:rFonts w:eastAsia="Times New Roman"/>
                <w:bCs/>
                <w:sz w:val="18"/>
                <w:szCs w:val="18"/>
              </w:rPr>
            </w:pPr>
            <w:r w:rsidRPr="000F7AA5">
              <w:rPr>
                <w:rFonts w:eastAsia="Times New Roman"/>
                <w:bCs/>
                <w:sz w:val="18"/>
                <w:szCs w:val="18"/>
              </w:rPr>
              <w:t>5. Строк поставки товарів, виконання робіт чи надання послуг:</w:t>
            </w:r>
          </w:p>
        </w:tc>
        <w:tc>
          <w:tcPr>
            <w:tcW w:w="5797" w:type="dxa"/>
            <w:vAlign w:val="center"/>
          </w:tcPr>
          <w:p w14:paraId="7571FD1E" w14:textId="65E3B3FF" w:rsidR="00EC1376" w:rsidRPr="000F7AA5" w:rsidRDefault="00EC1376" w:rsidP="00CC2367">
            <w:pPr>
              <w:rPr>
                <w:rStyle w:val="a3"/>
                <w:rFonts w:eastAsia="Times New Roman"/>
                <w:sz w:val="18"/>
                <w:szCs w:val="18"/>
              </w:rPr>
            </w:pPr>
            <w:r w:rsidRPr="000F7AA5">
              <w:rPr>
                <w:rFonts w:eastAsia="Times New Roman"/>
                <w:b/>
                <w:sz w:val="18"/>
                <w:szCs w:val="18"/>
                <w:lang w:eastAsia="ru-RU"/>
              </w:rPr>
              <w:t xml:space="preserve">до </w:t>
            </w:r>
            <w:r w:rsidR="00CC2367" w:rsidRPr="000F7AA5">
              <w:rPr>
                <w:rFonts w:eastAsia="Times New Roman"/>
                <w:b/>
                <w:sz w:val="18"/>
                <w:szCs w:val="18"/>
                <w:lang w:eastAsia="ru-RU"/>
              </w:rPr>
              <w:t>31</w:t>
            </w:r>
            <w:r w:rsidRPr="000F7AA5">
              <w:rPr>
                <w:rFonts w:eastAsia="Times New Roman"/>
                <w:b/>
                <w:sz w:val="18"/>
                <w:szCs w:val="18"/>
                <w:lang w:eastAsia="ru-RU"/>
              </w:rPr>
              <w:t>.</w:t>
            </w:r>
            <w:r w:rsidR="00CC2367" w:rsidRPr="000F7AA5">
              <w:rPr>
                <w:rFonts w:eastAsia="Times New Roman"/>
                <w:b/>
                <w:sz w:val="18"/>
                <w:szCs w:val="18"/>
                <w:lang w:eastAsia="ru-RU"/>
              </w:rPr>
              <w:t>12</w:t>
            </w:r>
            <w:r w:rsidR="00C27E86" w:rsidRPr="000F7AA5">
              <w:rPr>
                <w:rFonts w:eastAsia="Times New Roman"/>
                <w:b/>
                <w:sz w:val="18"/>
                <w:szCs w:val="18"/>
                <w:lang w:eastAsia="ru-RU"/>
              </w:rPr>
              <w:t>.2022</w:t>
            </w:r>
            <w:r w:rsidRPr="000F7AA5">
              <w:rPr>
                <w:rFonts w:eastAsia="Times New Roman"/>
                <w:b/>
                <w:sz w:val="18"/>
                <w:szCs w:val="18"/>
                <w:lang w:eastAsia="ru-RU"/>
              </w:rPr>
              <w:t xml:space="preserve"> року</w:t>
            </w:r>
          </w:p>
        </w:tc>
      </w:tr>
      <w:tr w:rsidR="00704B3D" w:rsidRPr="000F7AA5" w14:paraId="320C898C" w14:textId="77777777" w:rsidTr="00FF3189">
        <w:tc>
          <w:tcPr>
            <w:tcW w:w="4139" w:type="dxa"/>
            <w:vAlign w:val="center"/>
            <w:hideMark/>
          </w:tcPr>
          <w:p w14:paraId="2915F010" w14:textId="77777777" w:rsidR="00EC1376" w:rsidRPr="000F7AA5" w:rsidRDefault="00EC1376" w:rsidP="00AA3DAF">
            <w:pPr>
              <w:textAlignment w:val="top"/>
              <w:rPr>
                <w:rFonts w:eastAsia="Times New Roman"/>
                <w:bCs/>
                <w:sz w:val="18"/>
                <w:szCs w:val="18"/>
              </w:rPr>
            </w:pPr>
            <w:r w:rsidRPr="000F7AA5">
              <w:rPr>
                <w:rFonts w:eastAsia="Times New Roman"/>
                <w:bCs/>
                <w:sz w:val="18"/>
                <w:szCs w:val="18"/>
              </w:rPr>
              <w:t>6. Кінцевий строк подання тендерних пропозицій:</w:t>
            </w:r>
          </w:p>
        </w:tc>
        <w:tc>
          <w:tcPr>
            <w:tcW w:w="5797" w:type="dxa"/>
            <w:vAlign w:val="center"/>
          </w:tcPr>
          <w:p w14:paraId="49A74B9C" w14:textId="3B84F2C4" w:rsidR="00EC1376" w:rsidRPr="000F7AA5" w:rsidRDefault="00101E0B" w:rsidP="007E5FC0">
            <w:pPr>
              <w:pStyle w:val="ab"/>
              <w:spacing w:before="0" w:after="0"/>
              <w:jc w:val="both"/>
              <w:rPr>
                <w:b/>
                <w:sz w:val="18"/>
                <w:szCs w:val="18"/>
              </w:rPr>
            </w:pPr>
            <w:r w:rsidRPr="000F7AA5">
              <w:rPr>
                <w:b/>
                <w:sz w:val="18"/>
                <w:szCs w:val="18"/>
              </w:rPr>
              <w:t>«</w:t>
            </w:r>
            <w:r w:rsidR="007E5FC0">
              <w:rPr>
                <w:b/>
                <w:sz w:val="18"/>
                <w:szCs w:val="18"/>
                <w:lang w:val="ru-RU"/>
              </w:rPr>
              <w:t>01</w:t>
            </w:r>
            <w:r w:rsidRPr="000F7AA5">
              <w:rPr>
                <w:b/>
                <w:sz w:val="18"/>
                <w:szCs w:val="18"/>
              </w:rPr>
              <w:t xml:space="preserve">» </w:t>
            </w:r>
            <w:r w:rsidR="007E5FC0">
              <w:rPr>
                <w:b/>
                <w:sz w:val="18"/>
                <w:szCs w:val="18"/>
                <w:lang w:val="ru-RU"/>
              </w:rPr>
              <w:t>чер</w:t>
            </w:r>
            <w:r w:rsidR="007F0CD4">
              <w:rPr>
                <w:b/>
                <w:sz w:val="18"/>
                <w:szCs w:val="18"/>
                <w:lang w:val="ru-RU"/>
              </w:rPr>
              <w:t>вня</w:t>
            </w:r>
            <w:r w:rsidRPr="000F7AA5">
              <w:rPr>
                <w:b/>
                <w:sz w:val="18"/>
                <w:szCs w:val="18"/>
              </w:rPr>
              <w:t xml:space="preserve"> 202</w:t>
            </w:r>
            <w:r w:rsidR="00401354" w:rsidRPr="000F7AA5">
              <w:rPr>
                <w:b/>
                <w:sz w:val="18"/>
                <w:szCs w:val="18"/>
              </w:rPr>
              <w:t>2</w:t>
            </w:r>
            <w:r w:rsidR="00744736" w:rsidRPr="000F7AA5">
              <w:rPr>
                <w:b/>
                <w:sz w:val="18"/>
                <w:szCs w:val="18"/>
              </w:rPr>
              <w:t xml:space="preserve"> року до</w:t>
            </w:r>
            <w:r w:rsidR="00951B95">
              <w:rPr>
                <w:b/>
                <w:sz w:val="18"/>
                <w:szCs w:val="18"/>
              </w:rPr>
              <w:t xml:space="preserve"> 18</w:t>
            </w:r>
            <w:r w:rsidRPr="000F7AA5">
              <w:rPr>
                <w:b/>
                <w:sz w:val="18"/>
                <w:szCs w:val="18"/>
              </w:rPr>
              <w:t>:00 год.</w:t>
            </w:r>
          </w:p>
        </w:tc>
      </w:tr>
      <w:tr w:rsidR="00704B3D" w:rsidRPr="000F7AA5" w14:paraId="4A101FB2" w14:textId="77777777" w:rsidTr="00FF3189">
        <w:tc>
          <w:tcPr>
            <w:tcW w:w="4139" w:type="dxa"/>
            <w:vAlign w:val="center"/>
            <w:hideMark/>
          </w:tcPr>
          <w:p w14:paraId="26058C96" w14:textId="77777777" w:rsidR="00EC1376" w:rsidRPr="000F7AA5" w:rsidRDefault="00EC1376" w:rsidP="00AA3DAF">
            <w:pPr>
              <w:textAlignment w:val="top"/>
              <w:rPr>
                <w:rFonts w:eastAsia="Times New Roman"/>
                <w:bCs/>
                <w:sz w:val="18"/>
                <w:szCs w:val="18"/>
              </w:rPr>
            </w:pPr>
            <w:r w:rsidRPr="000F7AA5">
              <w:rPr>
                <w:rFonts w:eastAsia="Times New Roman"/>
                <w:bCs/>
                <w:sz w:val="18"/>
                <w:szCs w:val="18"/>
              </w:rPr>
              <w:t>7. Умови оплати:</w:t>
            </w:r>
          </w:p>
        </w:tc>
        <w:tc>
          <w:tcPr>
            <w:tcW w:w="5797" w:type="dxa"/>
            <w:vAlign w:val="center"/>
          </w:tcPr>
          <w:p w14:paraId="3DEF3055" w14:textId="77777777" w:rsidR="00EF7A4C" w:rsidRPr="000F7AA5" w:rsidRDefault="00EF7A4C" w:rsidP="00EF7A4C">
            <w:pPr>
              <w:jc w:val="both"/>
              <w:textAlignment w:val="top"/>
              <w:rPr>
                <w:rFonts w:eastAsia="Times New Roman"/>
                <w:b/>
                <w:bCs/>
                <w:sz w:val="18"/>
                <w:szCs w:val="18"/>
              </w:rPr>
            </w:pPr>
            <w:r w:rsidRPr="000F7AA5">
              <w:rPr>
                <w:rFonts w:eastAsia="Times New Roman"/>
                <w:b/>
                <w:bCs/>
                <w:sz w:val="18"/>
                <w:szCs w:val="18"/>
              </w:rPr>
              <w:t xml:space="preserve">Тип: </w:t>
            </w:r>
            <w:proofErr w:type="spellStart"/>
            <w:r w:rsidRPr="000F7AA5">
              <w:rPr>
                <w:rFonts w:eastAsia="Times New Roman"/>
                <w:b/>
                <w:bCs/>
                <w:sz w:val="18"/>
                <w:szCs w:val="18"/>
              </w:rPr>
              <w:t>післяоплата</w:t>
            </w:r>
            <w:bookmarkStart w:id="0" w:name="_GoBack"/>
            <w:bookmarkEnd w:id="0"/>
            <w:proofErr w:type="spellEnd"/>
            <w:r w:rsidRPr="000F7AA5">
              <w:rPr>
                <w:rFonts w:eastAsia="Times New Roman"/>
                <w:b/>
                <w:bCs/>
                <w:sz w:val="18"/>
                <w:szCs w:val="18"/>
              </w:rPr>
              <w:t xml:space="preserve">; </w:t>
            </w:r>
          </w:p>
          <w:p w14:paraId="1C1DFE8E" w14:textId="5F5CB556" w:rsidR="00EF7A4C" w:rsidRPr="000F7AA5" w:rsidRDefault="00EF7A4C" w:rsidP="00EF7A4C">
            <w:pPr>
              <w:jc w:val="both"/>
              <w:textAlignment w:val="top"/>
              <w:rPr>
                <w:rFonts w:eastAsia="Times New Roman"/>
                <w:b/>
                <w:bCs/>
                <w:sz w:val="18"/>
                <w:szCs w:val="18"/>
              </w:rPr>
            </w:pPr>
            <w:r w:rsidRPr="000F7AA5">
              <w:rPr>
                <w:rFonts w:eastAsia="Times New Roman"/>
                <w:b/>
                <w:bCs/>
                <w:sz w:val="18"/>
                <w:szCs w:val="18"/>
              </w:rPr>
              <w:t xml:space="preserve">Період та тип днів: </w:t>
            </w:r>
            <w:r w:rsidR="00B74733" w:rsidRPr="000F7AA5">
              <w:rPr>
                <w:rFonts w:eastAsia="Times New Roman"/>
                <w:b/>
                <w:bCs/>
                <w:sz w:val="18"/>
                <w:szCs w:val="18"/>
              </w:rPr>
              <w:t>30</w:t>
            </w:r>
            <w:r w:rsidR="00763F70" w:rsidRPr="000F7AA5">
              <w:rPr>
                <w:rFonts w:eastAsia="Times New Roman"/>
                <w:b/>
                <w:bCs/>
                <w:sz w:val="18"/>
                <w:szCs w:val="18"/>
              </w:rPr>
              <w:t xml:space="preserve"> </w:t>
            </w:r>
            <w:r w:rsidR="00B74733" w:rsidRPr="000F7AA5">
              <w:rPr>
                <w:rFonts w:eastAsia="Times New Roman"/>
                <w:b/>
                <w:bCs/>
                <w:sz w:val="18"/>
                <w:szCs w:val="18"/>
              </w:rPr>
              <w:t>банківських</w:t>
            </w:r>
            <w:r w:rsidRPr="000F7AA5">
              <w:rPr>
                <w:rFonts w:eastAsia="Times New Roman"/>
                <w:b/>
                <w:bCs/>
                <w:sz w:val="18"/>
                <w:szCs w:val="18"/>
              </w:rPr>
              <w:t xml:space="preserve"> днів; </w:t>
            </w:r>
          </w:p>
          <w:p w14:paraId="45BB409D" w14:textId="77777777" w:rsidR="00EF7A4C" w:rsidRPr="000F7AA5" w:rsidRDefault="00EF7A4C" w:rsidP="00EF7A4C">
            <w:pPr>
              <w:jc w:val="both"/>
              <w:textAlignment w:val="top"/>
              <w:rPr>
                <w:rFonts w:eastAsia="Times New Roman"/>
                <w:b/>
                <w:bCs/>
                <w:sz w:val="18"/>
                <w:szCs w:val="18"/>
              </w:rPr>
            </w:pPr>
            <w:r w:rsidRPr="000F7AA5">
              <w:rPr>
                <w:rFonts w:eastAsia="Times New Roman"/>
                <w:b/>
                <w:bCs/>
                <w:sz w:val="18"/>
                <w:szCs w:val="18"/>
              </w:rPr>
              <w:t xml:space="preserve">Розмір оплати: 100%; </w:t>
            </w:r>
          </w:p>
          <w:p w14:paraId="1A2CF718" w14:textId="78E0AB8C" w:rsidR="00EC1376" w:rsidRPr="000F7AA5" w:rsidRDefault="00EF7A4C" w:rsidP="00B74733">
            <w:pPr>
              <w:shd w:val="clear" w:color="auto" w:fill="FFFFFF"/>
              <w:jc w:val="both"/>
              <w:textAlignment w:val="baseline"/>
              <w:rPr>
                <w:rStyle w:val="a3"/>
                <w:b w:val="0"/>
                <w:bCs w:val="0"/>
                <w:sz w:val="18"/>
                <w:szCs w:val="18"/>
              </w:rPr>
            </w:pPr>
            <w:r w:rsidRPr="000F7AA5">
              <w:rPr>
                <w:rFonts w:eastAsia="Times New Roman"/>
                <w:b/>
                <w:bCs/>
                <w:sz w:val="18"/>
                <w:szCs w:val="18"/>
              </w:rPr>
              <w:t xml:space="preserve">Примітка: </w:t>
            </w:r>
            <w:r w:rsidR="00B74733" w:rsidRPr="000F7AA5">
              <w:rPr>
                <w:rFonts w:eastAsia="Arial Unicode MS"/>
                <w:sz w:val="18"/>
                <w:szCs w:val="18"/>
                <w:lang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r w:rsidR="00704B3D" w:rsidRPr="000F7AA5" w14:paraId="4ACCE1E2" w14:textId="77777777" w:rsidTr="00FF3189">
        <w:tc>
          <w:tcPr>
            <w:tcW w:w="4139" w:type="dxa"/>
            <w:vAlign w:val="center"/>
            <w:hideMark/>
          </w:tcPr>
          <w:p w14:paraId="679CD08B" w14:textId="77777777" w:rsidR="00EC1376" w:rsidRPr="000F7AA5" w:rsidRDefault="00EC1376" w:rsidP="00AA3DAF">
            <w:pPr>
              <w:textAlignment w:val="top"/>
              <w:rPr>
                <w:rFonts w:eastAsia="Times New Roman"/>
                <w:bCs/>
                <w:sz w:val="18"/>
                <w:szCs w:val="18"/>
              </w:rPr>
            </w:pPr>
            <w:r w:rsidRPr="000F7AA5">
              <w:rPr>
                <w:rFonts w:eastAsia="Times New Roman"/>
                <w:bCs/>
                <w:sz w:val="18"/>
                <w:szCs w:val="18"/>
              </w:rPr>
              <w:t>8. Мова (мови), якою</w:t>
            </w:r>
            <w:r w:rsidR="00B84BA3" w:rsidRPr="000F7AA5">
              <w:rPr>
                <w:rFonts w:eastAsia="Times New Roman"/>
                <w:bCs/>
                <w:sz w:val="18"/>
                <w:szCs w:val="18"/>
              </w:rPr>
              <w:t xml:space="preserve"> (якими) повинні готуватися тендерні пропозиції</w:t>
            </w:r>
          </w:p>
        </w:tc>
        <w:tc>
          <w:tcPr>
            <w:tcW w:w="5797" w:type="dxa"/>
            <w:vAlign w:val="center"/>
          </w:tcPr>
          <w:p w14:paraId="05F95F62" w14:textId="77777777" w:rsidR="00EC1376" w:rsidRPr="000F7AA5" w:rsidRDefault="00CB73B3" w:rsidP="00B84BA3">
            <w:pPr>
              <w:jc w:val="both"/>
              <w:textAlignment w:val="top"/>
              <w:rPr>
                <w:rStyle w:val="a3"/>
                <w:sz w:val="18"/>
                <w:szCs w:val="18"/>
              </w:rPr>
            </w:pPr>
            <w:r w:rsidRPr="000F7AA5">
              <w:rPr>
                <w:rStyle w:val="a3"/>
                <w:sz w:val="18"/>
                <w:szCs w:val="18"/>
              </w:rPr>
              <w:t>Усі документи, що мають відношення до тендерної пропозиції, та підготовлені безпосередньо учасником, повинні бути складені українською та/або російською мовами</w:t>
            </w:r>
          </w:p>
        </w:tc>
      </w:tr>
      <w:tr w:rsidR="00704B3D" w:rsidRPr="000F7AA5" w14:paraId="39B7CEA3" w14:textId="77777777" w:rsidTr="00FF3189">
        <w:tc>
          <w:tcPr>
            <w:tcW w:w="4139" w:type="dxa"/>
            <w:vAlign w:val="center"/>
            <w:hideMark/>
          </w:tcPr>
          <w:p w14:paraId="3102662E" w14:textId="77777777" w:rsidR="00B84BA3" w:rsidRPr="000F7AA5" w:rsidRDefault="00B84BA3" w:rsidP="00B84BA3">
            <w:pPr>
              <w:jc w:val="both"/>
              <w:textAlignment w:val="top"/>
              <w:rPr>
                <w:rFonts w:eastAsia="Times New Roman"/>
                <w:bCs/>
                <w:sz w:val="18"/>
                <w:szCs w:val="18"/>
              </w:rPr>
            </w:pPr>
            <w:r w:rsidRPr="000F7AA5">
              <w:rPr>
                <w:rFonts w:eastAsia="Times New Roman"/>
                <w:bCs/>
                <w:sz w:val="18"/>
                <w:szCs w:val="18"/>
              </w:rPr>
              <w:t>9.Розмір, вид та умови надання забезпечення тендерних пропозицій</w:t>
            </w:r>
            <w:r w:rsidR="00EF7A4C" w:rsidRPr="000F7AA5">
              <w:rPr>
                <w:rFonts w:eastAsia="Times New Roman"/>
                <w:bCs/>
                <w:sz w:val="18"/>
                <w:szCs w:val="18"/>
              </w:rPr>
              <w:t xml:space="preserve"> (якщо замовник вимагає його надати):</w:t>
            </w:r>
          </w:p>
        </w:tc>
        <w:tc>
          <w:tcPr>
            <w:tcW w:w="5797" w:type="dxa"/>
            <w:vAlign w:val="center"/>
          </w:tcPr>
          <w:p w14:paraId="4416CCB3" w14:textId="77777777" w:rsidR="00B84BA3" w:rsidRPr="000F7AA5" w:rsidRDefault="00B84BA3" w:rsidP="00B84BA3">
            <w:pPr>
              <w:jc w:val="both"/>
              <w:textAlignment w:val="top"/>
              <w:rPr>
                <w:rStyle w:val="a3"/>
                <w:sz w:val="18"/>
                <w:szCs w:val="18"/>
              </w:rPr>
            </w:pPr>
            <w:r w:rsidRPr="000F7AA5">
              <w:rPr>
                <w:rStyle w:val="a3"/>
                <w:sz w:val="18"/>
                <w:szCs w:val="18"/>
              </w:rPr>
              <w:t>Забезпечення тендерної пропозиції не вимагається</w:t>
            </w:r>
          </w:p>
        </w:tc>
      </w:tr>
      <w:tr w:rsidR="00704B3D" w:rsidRPr="000F7AA5" w14:paraId="009FB78E" w14:textId="77777777" w:rsidTr="00FF3189">
        <w:tc>
          <w:tcPr>
            <w:tcW w:w="4139" w:type="dxa"/>
            <w:vAlign w:val="center"/>
            <w:hideMark/>
          </w:tcPr>
          <w:p w14:paraId="5B7F145C" w14:textId="77777777" w:rsidR="00B84BA3" w:rsidRPr="000F7AA5" w:rsidRDefault="00B84BA3" w:rsidP="00B84BA3">
            <w:pPr>
              <w:jc w:val="both"/>
              <w:textAlignment w:val="top"/>
              <w:rPr>
                <w:rFonts w:eastAsia="Times New Roman"/>
                <w:bCs/>
                <w:sz w:val="18"/>
                <w:szCs w:val="18"/>
              </w:rPr>
            </w:pPr>
            <w:r w:rsidRPr="000F7AA5">
              <w:rPr>
                <w:rFonts w:eastAsia="Times New Roman"/>
                <w:bCs/>
                <w:sz w:val="18"/>
                <w:szCs w:val="18"/>
              </w:rPr>
              <w:t>10.</w:t>
            </w:r>
            <w:r w:rsidRPr="000F7AA5">
              <w:rPr>
                <w:sz w:val="18"/>
                <w:szCs w:val="18"/>
              </w:rPr>
              <w:t xml:space="preserve"> Д</w:t>
            </w:r>
            <w:r w:rsidRPr="000F7AA5">
              <w:rPr>
                <w:rFonts w:eastAsia="Times New Roman"/>
                <w:bCs/>
                <w:sz w:val="18"/>
                <w:szCs w:val="18"/>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353D02C3" w14:textId="77777777" w:rsidR="00B84BA3" w:rsidRPr="000F7AA5" w:rsidRDefault="00D6709C" w:rsidP="00B84BA3">
            <w:pPr>
              <w:jc w:val="both"/>
              <w:textAlignment w:val="top"/>
              <w:rPr>
                <w:rStyle w:val="a3"/>
                <w:sz w:val="18"/>
                <w:szCs w:val="18"/>
              </w:rPr>
            </w:pPr>
            <w:r w:rsidRPr="000F7AA5">
              <w:rPr>
                <w:b/>
                <w:sz w:val="18"/>
                <w:szCs w:val="18"/>
              </w:rPr>
              <w:t>Не зазначається, адже оголошення про проведення відкритих торгів оприлюднюється не відповідно до частини першої статті 10 Закону</w:t>
            </w:r>
          </w:p>
        </w:tc>
      </w:tr>
      <w:tr w:rsidR="00704B3D" w:rsidRPr="000F7AA5" w14:paraId="5F7068E1" w14:textId="77777777" w:rsidTr="00FF3189">
        <w:tc>
          <w:tcPr>
            <w:tcW w:w="4139" w:type="dxa"/>
            <w:vAlign w:val="center"/>
            <w:hideMark/>
          </w:tcPr>
          <w:p w14:paraId="0A51655B" w14:textId="77777777" w:rsidR="00B84BA3" w:rsidRPr="000F7AA5" w:rsidRDefault="00B84BA3" w:rsidP="00B84BA3">
            <w:pPr>
              <w:jc w:val="both"/>
              <w:textAlignment w:val="top"/>
              <w:rPr>
                <w:rFonts w:eastAsia="Times New Roman"/>
                <w:bCs/>
                <w:sz w:val="18"/>
                <w:szCs w:val="18"/>
              </w:rPr>
            </w:pPr>
            <w:r w:rsidRPr="000F7AA5">
              <w:rPr>
                <w:rFonts w:eastAsia="Times New Roman"/>
                <w:bCs/>
                <w:sz w:val="18"/>
                <w:szCs w:val="18"/>
              </w:rPr>
              <w:t>11.</w:t>
            </w:r>
            <w:r w:rsidRPr="000F7AA5">
              <w:rPr>
                <w:sz w:val="18"/>
                <w:szCs w:val="18"/>
              </w:rPr>
              <w:t xml:space="preserve"> Р</w:t>
            </w:r>
            <w:r w:rsidRPr="000F7AA5">
              <w:rPr>
                <w:rFonts w:eastAsia="Times New Roman"/>
                <w:bCs/>
                <w:sz w:val="18"/>
                <w:szCs w:val="18"/>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6FAA1253" w14:textId="77777777" w:rsidR="00B84BA3" w:rsidRPr="000F7AA5" w:rsidRDefault="00B84BA3" w:rsidP="00B84BA3">
            <w:pPr>
              <w:jc w:val="both"/>
              <w:textAlignment w:val="top"/>
              <w:rPr>
                <w:rStyle w:val="a3"/>
                <w:sz w:val="18"/>
                <w:szCs w:val="18"/>
              </w:rPr>
            </w:pPr>
            <w:r w:rsidRPr="000F7AA5">
              <w:rPr>
                <w:rStyle w:val="a3"/>
                <w:sz w:val="18"/>
                <w:szCs w:val="18"/>
              </w:rPr>
              <w:t xml:space="preserve"> 0,5 %</w:t>
            </w:r>
          </w:p>
          <w:p w14:paraId="6A8DDD51" w14:textId="77777777" w:rsidR="00B84BA3" w:rsidRPr="000F7AA5" w:rsidRDefault="00B84BA3" w:rsidP="00CC2367">
            <w:pPr>
              <w:jc w:val="both"/>
              <w:textAlignment w:val="top"/>
              <w:rPr>
                <w:rStyle w:val="a3"/>
                <w:sz w:val="18"/>
                <w:szCs w:val="18"/>
              </w:rPr>
            </w:pPr>
          </w:p>
        </w:tc>
      </w:tr>
      <w:tr w:rsidR="00B84BA3" w:rsidRPr="000F7AA5" w14:paraId="780878AE" w14:textId="77777777" w:rsidTr="00FF3189">
        <w:tc>
          <w:tcPr>
            <w:tcW w:w="4139" w:type="dxa"/>
            <w:vAlign w:val="center"/>
            <w:hideMark/>
          </w:tcPr>
          <w:p w14:paraId="767474A0" w14:textId="77777777" w:rsidR="00B84BA3" w:rsidRPr="000F7AA5" w:rsidRDefault="00B84BA3" w:rsidP="00B84BA3">
            <w:pPr>
              <w:jc w:val="both"/>
              <w:textAlignment w:val="top"/>
              <w:rPr>
                <w:rFonts w:eastAsia="Times New Roman"/>
                <w:bCs/>
                <w:sz w:val="18"/>
                <w:szCs w:val="18"/>
              </w:rPr>
            </w:pPr>
            <w:r w:rsidRPr="000F7AA5">
              <w:rPr>
                <w:rFonts w:eastAsia="Times New Roman"/>
                <w:bCs/>
                <w:sz w:val="18"/>
                <w:szCs w:val="18"/>
              </w:rPr>
              <w:t>12. Математична формула для розрахунку приведеної ціни (у разі її застосування)</w:t>
            </w:r>
          </w:p>
        </w:tc>
        <w:tc>
          <w:tcPr>
            <w:tcW w:w="5797" w:type="dxa"/>
            <w:vAlign w:val="center"/>
          </w:tcPr>
          <w:p w14:paraId="6CAB05C0" w14:textId="77777777" w:rsidR="00B84BA3" w:rsidRPr="000F7AA5" w:rsidRDefault="00B84BA3" w:rsidP="00B84BA3">
            <w:pPr>
              <w:jc w:val="both"/>
              <w:textAlignment w:val="top"/>
              <w:rPr>
                <w:rStyle w:val="a3"/>
                <w:sz w:val="18"/>
                <w:szCs w:val="18"/>
              </w:rPr>
            </w:pPr>
            <w:r w:rsidRPr="000F7AA5">
              <w:rPr>
                <w:rStyle w:val="a3"/>
                <w:sz w:val="18"/>
                <w:szCs w:val="18"/>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80A94A2" w14:textId="77777777" w:rsidR="002B049C" w:rsidRPr="000F7AA5" w:rsidRDefault="002B049C">
      <w:pPr>
        <w:textAlignment w:val="top"/>
        <w:rPr>
          <w:rFonts w:eastAsia="Times New Roman"/>
          <w:sz w:val="18"/>
          <w:szCs w:val="18"/>
        </w:rPr>
      </w:pPr>
    </w:p>
    <w:p w14:paraId="48F4FA92" w14:textId="77777777" w:rsidR="00A027FD" w:rsidRPr="000F7AA5" w:rsidRDefault="00A027FD">
      <w:pPr>
        <w:textAlignment w:val="top"/>
        <w:rPr>
          <w:rFonts w:eastAsia="Times New Roman"/>
          <w:sz w:val="18"/>
          <w:szCs w:val="18"/>
        </w:rPr>
      </w:pPr>
    </w:p>
    <w:p w14:paraId="793D8648" w14:textId="77777777" w:rsidR="002B049C" w:rsidRPr="000F7AA5" w:rsidRDefault="002B049C">
      <w:pPr>
        <w:textAlignment w:val="top"/>
        <w:rPr>
          <w:rFonts w:eastAsia="Times New Roman"/>
          <w:bCs/>
          <w:sz w:val="18"/>
          <w:szCs w:val="18"/>
        </w:rPr>
      </w:pPr>
    </w:p>
    <w:p w14:paraId="485570CA" w14:textId="77777777" w:rsidR="00FF2126" w:rsidRPr="000F7AA5" w:rsidRDefault="00FF2126">
      <w:pPr>
        <w:rPr>
          <w:rFonts w:eastAsia="Times New Roman"/>
          <w:bCs/>
          <w:sz w:val="18"/>
          <w:szCs w:val="18"/>
        </w:rPr>
      </w:pPr>
    </w:p>
    <w:p w14:paraId="10D4E04F" w14:textId="77777777" w:rsidR="00EF218C" w:rsidRPr="000F7AA5" w:rsidRDefault="00EF218C">
      <w:pPr>
        <w:rPr>
          <w:rFonts w:eastAsia="Times New Roman"/>
          <w:bCs/>
          <w:sz w:val="18"/>
          <w:szCs w:val="18"/>
        </w:rPr>
      </w:pPr>
    </w:p>
    <w:tbl>
      <w:tblPr>
        <w:tblW w:w="0" w:type="auto"/>
        <w:jc w:val="center"/>
        <w:tblLayout w:type="fixed"/>
        <w:tblLook w:val="04A0" w:firstRow="1" w:lastRow="0" w:firstColumn="1" w:lastColumn="0" w:noHBand="0" w:noVBand="1"/>
      </w:tblPr>
      <w:tblGrid>
        <w:gridCol w:w="3664"/>
        <w:gridCol w:w="3285"/>
        <w:gridCol w:w="3089"/>
      </w:tblGrid>
      <w:tr w:rsidR="00C27E86" w:rsidRPr="000F7AA5" w14:paraId="20B8D549" w14:textId="77777777" w:rsidTr="000D3086">
        <w:trPr>
          <w:trHeight w:val="131"/>
          <w:jc w:val="center"/>
        </w:trPr>
        <w:tc>
          <w:tcPr>
            <w:tcW w:w="3664" w:type="dxa"/>
          </w:tcPr>
          <w:p w14:paraId="7CC79CC3" w14:textId="77777777" w:rsidR="00C27E86" w:rsidRPr="000F7AA5" w:rsidRDefault="00C27E86" w:rsidP="00C27E86">
            <w:pPr>
              <w:shd w:val="clear" w:color="auto" w:fill="FFFFFF"/>
              <w:tabs>
                <w:tab w:val="left" w:pos="720"/>
              </w:tabs>
              <w:spacing w:line="317" w:lineRule="exact"/>
              <w:rPr>
                <w:b/>
                <w:bCs/>
                <w:spacing w:val="1"/>
                <w:sz w:val="18"/>
                <w:szCs w:val="18"/>
              </w:rPr>
            </w:pPr>
            <w:r w:rsidRPr="000F7AA5">
              <w:rPr>
                <w:b/>
                <w:bCs/>
                <w:spacing w:val="1"/>
                <w:sz w:val="18"/>
                <w:szCs w:val="18"/>
              </w:rPr>
              <w:t>Уповноважена особа</w:t>
            </w:r>
          </w:p>
          <w:p w14:paraId="10D5E964" w14:textId="77777777" w:rsidR="00C27E86" w:rsidRPr="000F7AA5" w:rsidRDefault="00C27E86" w:rsidP="00C27E86">
            <w:pPr>
              <w:shd w:val="clear" w:color="auto" w:fill="FFFFFF"/>
              <w:tabs>
                <w:tab w:val="left" w:pos="720"/>
              </w:tabs>
              <w:spacing w:line="317" w:lineRule="exact"/>
              <w:rPr>
                <w:b/>
                <w:bCs/>
                <w:spacing w:val="1"/>
                <w:sz w:val="18"/>
                <w:szCs w:val="18"/>
              </w:rPr>
            </w:pPr>
            <w:r w:rsidRPr="000F7AA5">
              <w:rPr>
                <w:b/>
                <w:bCs/>
                <w:spacing w:val="1"/>
                <w:sz w:val="18"/>
                <w:szCs w:val="18"/>
              </w:rPr>
              <w:t xml:space="preserve">Комунального некомерційного підприємства «Подільський регіональний центр онкології Вінницької обласної Ради»  </w:t>
            </w:r>
          </w:p>
          <w:p w14:paraId="7967613D" w14:textId="77777777" w:rsidR="00C27E86" w:rsidRPr="000F7AA5" w:rsidRDefault="00C27E86" w:rsidP="00C27E86">
            <w:pPr>
              <w:shd w:val="clear" w:color="auto" w:fill="FFFFFF"/>
              <w:tabs>
                <w:tab w:val="left" w:pos="720"/>
              </w:tabs>
              <w:spacing w:line="317" w:lineRule="exact"/>
              <w:rPr>
                <w:b/>
                <w:bCs/>
                <w:i/>
                <w:spacing w:val="1"/>
                <w:sz w:val="18"/>
                <w:szCs w:val="18"/>
              </w:rPr>
            </w:pPr>
          </w:p>
        </w:tc>
        <w:tc>
          <w:tcPr>
            <w:tcW w:w="3285" w:type="dxa"/>
            <w:vAlign w:val="center"/>
            <w:hideMark/>
          </w:tcPr>
          <w:p w14:paraId="0E0A5F0B" w14:textId="77777777" w:rsidR="00C27E86" w:rsidRPr="000F7AA5" w:rsidRDefault="00C27E86" w:rsidP="00C27E86">
            <w:pPr>
              <w:shd w:val="clear" w:color="auto" w:fill="FFFFFF"/>
              <w:tabs>
                <w:tab w:val="left" w:pos="720"/>
              </w:tabs>
              <w:spacing w:line="317" w:lineRule="exact"/>
              <w:rPr>
                <w:b/>
                <w:bCs/>
                <w:spacing w:val="1"/>
                <w:sz w:val="18"/>
                <w:szCs w:val="18"/>
              </w:rPr>
            </w:pPr>
            <w:r w:rsidRPr="000F7AA5">
              <w:rPr>
                <w:b/>
                <w:bCs/>
                <w:spacing w:val="1"/>
                <w:sz w:val="18"/>
                <w:szCs w:val="18"/>
              </w:rPr>
              <w:t>________________</w:t>
            </w:r>
          </w:p>
        </w:tc>
        <w:tc>
          <w:tcPr>
            <w:tcW w:w="3089" w:type="dxa"/>
            <w:vAlign w:val="center"/>
            <w:hideMark/>
          </w:tcPr>
          <w:p w14:paraId="3EECE277" w14:textId="2C60CDAE" w:rsidR="00C27E86" w:rsidRPr="000F7AA5" w:rsidRDefault="007F0CD4" w:rsidP="00C27E86">
            <w:pPr>
              <w:shd w:val="clear" w:color="auto" w:fill="FFFFFF"/>
              <w:tabs>
                <w:tab w:val="left" w:pos="720"/>
              </w:tabs>
              <w:spacing w:line="317" w:lineRule="exact"/>
              <w:rPr>
                <w:b/>
                <w:bCs/>
                <w:spacing w:val="1"/>
                <w:sz w:val="18"/>
                <w:szCs w:val="18"/>
              </w:rPr>
            </w:pPr>
            <w:r>
              <w:rPr>
                <w:b/>
                <w:bCs/>
                <w:spacing w:val="1"/>
                <w:sz w:val="18"/>
                <w:szCs w:val="18"/>
              </w:rPr>
              <w:t>Т.М. Рукомеда</w:t>
            </w:r>
          </w:p>
        </w:tc>
      </w:tr>
    </w:tbl>
    <w:p w14:paraId="542C3DF1" w14:textId="77777777" w:rsidR="00E06F47" w:rsidRPr="000F7AA5" w:rsidRDefault="00E06F47" w:rsidP="00C27E86">
      <w:pPr>
        <w:shd w:val="clear" w:color="auto" w:fill="FFFFFF"/>
        <w:tabs>
          <w:tab w:val="left" w:pos="720"/>
        </w:tabs>
        <w:spacing w:line="317" w:lineRule="exact"/>
        <w:rPr>
          <w:rFonts w:eastAsia="Times New Roman"/>
          <w:bCs/>
          <w:sz w:val="18"/>
          <w:szCs w:val="18"/>
        </w:rPr>
      </w:pPr>
    </w:p>
    <w:sectPr w:rsidR="00E06F47" w:rsidRPr="000F7AA5"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181D" w14:textId="77777777" w:rsidR="008C7612" w:rsidRDefault="008C7612" w:rsidP="003E1630">
      <w:r>
        <w:separator/>
      </w:r>
    </w:p>
  </w:endnote>
  <w:endnote w:type="continuationSeparator" w:id="0">
    <w:p w14:paraId="21361554" w14:textId="77777777" w:rsidR="008C7612" w:rsidRDefault="008C761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0EA4"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E9BA"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538F"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3F62" w14:textId="77777777" w:rsidR="008C7612" w:rsidRDefault="008C7612" w:rsidP="003E1630">
      <w:r>
        <w:separator/>
      </w:r>
    </w:p>
  </w:footnote>
  <w:footnote w:type="continuationSeparator" w:id="0">
    <w:p w14:paraId="565D2E7F" w14:textId="77777777" w:rsidR="008C7612" w:rsidRDefault="008C7612"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FACF"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56DC"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CEC5"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ru-RU" w:vendorID="64" w:dllVersion="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820"/>
    <w:rsid w:val="0008718B"/>
    <w:rsid w:val="000B58AF"/>
    <w:rsid w:val="000D7C63"/>
    <w:rsid w:val="000F1459"/>
    <w:rsid w:val="000F2936"/>
    <w:rsid w:val="000F7AA5"/>
    <w:rsid w:val="00101E0B"/>
    <w:rsid w:val="00110BB8"/>
    <w:rsid w:val="00137316"/>
    <w:rsid w:val="0015045A"/>
    <w:rsid w:val="00160DAA"/>
    <w:rsid w:val="001660D9"/>
    <w:rsid w:val="001750A1"/>
    <w:rsid w:val="0020778B"/>
    <w:rsid w:val="0022430B"/>
    <w:rsid w:val="00245B4C"/>
    <w:rsid w:val="0029390A"/>
    <w:rsid w:val="002B049C"/>
    <w:rsid w:val="002D4EED"/>
    <w:rsid w:val="002E0447"/>
    <w:rsid w:val="00313FAB"/>
    <w:rsid w:val="003C6B98"/>
    <w:rsid w:val="003E1630"/>
    <w:rsid w:val="003F09C9"/>
    <w:rsid w:val="003F4B0E"/>
    <w:rsid w:val="00401354"/>
    <w:rsid w:val="004154F7"/>
    <w:rsid w:val="004323C5"/>
    <w:rsid w:val="00437CEF"/>
    <w:rsid w:val="00482AF0"/>
    <w:rsid w:val="004860D1"/>
    <w:rsid w:val="00491924"/>
    <w:rsid w:val="004A7A55"/>
    <w:rsid w:val="004C70EE"/>
    <w:rsid w:val="004E5AF9"/>
    <w:rsid w:val="005309AC"/>
    <w:rsid w:val="00572CA1"/>
    <w:rsid w:val="005A081E"/>
    <w:rsid w:val="005B1F53"/>
    <w:rsid w:val="005C3458"/>
    <w:rsid w:val="006041E3"/>
    <w:rsid w:val="00635054"/>
    <w:rsid w:val="0067577D"/>
    <w:rsid w:val="00675DF1"/>
    <w:rsid w:val="00694272"/>
    <w:rsid w:val="006A2FBC"/>
    <w:rsid w:val="006B6575"/>
    <w:rsid w:val="006F0E52"/>
    <w:rsid w:val="006F6DEB"/>
    <w:rsid w:val="00702812"/>
    <w:rsid w:val="00704B3D"/>
    <w:rsid w:val="00712F9B"/>
    <w:rsid w:val="007176AC"/>
    <w:rsid w:val="007220D5"/>
    <w:rsid w:val="0072288A"/>
    <w:rsid w:val="0072576A"/>
    <w:rsid w:val="00744736"/>
    <w:rsid w:val="00754919"/>
    <w:rsid w:val="00763F70"/>
    <w:rsid w:val="007773B3"/>
    <w:rsid w:val="007A274E"/>
    <w:rsid w:val="007A6C39"/>
    <w:rsid w:val="007C7FD8"/>
    <w:rsid w:val="007E5FC0"/>
    <w:rsid w:val="007F0CD4"/>
    <w:rsid w:val="00804312"/>
    <w:rsid w:val="008208F9"/>
    <w:rsid w:val="0082124D"/>
    <w:rsid w:val="00831AD0"/>
    <w:rsid w:val="00843071"/>
    <w:rsid w:val="00863FC8"/>
    <w:rsid w:val="008739E0"/>
    <w:rsid w:val="008C73CB"/>
    <w:rsid w:val="008C7612"/>
    <w:rsid w:val="008D7546"/>
    <w:rsid w:val="00920E49"/>
    <w:rsid w:val="009404CF"/>
    <w:rsid w:val="009466B3"/>
    <w:rsid w:val="00951B95"/>
    <w:rsid w:val="0098127B"/>
    <w:rsid w:val="009914A2"/>
    <w:rsid w:val="0099273F"/>
    <w:rsid w:val="009B7602"/>
    <w:rsid w:val="009E2608"/>
    <w:rsid w:val="00A027FD"/>
    <w:rsid w:val="00A173D3"/>
    <w:rsid w:val="00A47D35"/>
    <w:rsid w:val="00A6021B"/>
    <w:rsid w:val="00A96B26"/>
    <w:rsid w:val="00AD62DE"/>
    <w:rsid w:val="00AE38E3"/>
    <w:rsid w:val="00B549FB"/>
    <w:rsid w:val="00B7233D"/>
    <w:rsid w:val="00B74733"/>
    <w:rsid w:val="00B84BA3"/>
    <w:rsid w:val="00BA7CDF"/>
    <w:rsid w:val="00BE6648"/>
    <w:rsid w:val="00C1627C"/>
    <w:rsid w:val="00C25637"/>
    <w:rsid w:val="00C27E86"/>
    <w:rsid w:val="00C46535"/>
    <w:rsid w:val="00C51275"/>
    <w:rsid w:val="00C91E53"/>
    <w:rsid w:val="00CA1A24"/>
    <w:rsid w:val="00CA2FF3"/>
    <w:rsid w:val="00CB73B3"/>
    <w:rsid w:val="00CC2367"/>
    <w:rsid w:val="00CD34A5"/>
    <w:rsid w:val="00CF3911"/>
    <w:rsid w:val="00D1388F"/>
    <w:rsid w:val="00D20208"/>
    <w:rsid w:val="00D21A84"/>
    <w:rsid w:val="00D2619D"/>
    <w:rsid w:val="00D6709C"/>
    <w:rsid w:val="00D732DD"/>
    <w:rsid w:val="00D871FA"/>
    <w:rsid w:val="00DB1024"/>
    <w:rsid w:val="00DC4C29"/>
    <w:rsid w:val="00DD54A4"/>
    <w:rsid w:val="00DE615C"/>
    <w:rsid w:val="00E06F47"/>
    <w:rsid w:val="00E077FA"/>
    <w:rsid w:val="00E37DAA"/>
    <w:rsid w:val="00E4624C"/>
    <w:rsid w:val="00E81714"/>
    <w:rsid w:val="00E86E39"/>
    <w:rsid w:val="00EA11B9"/>
    <w:rsid w:val="00EB37F1"/>
    <w:rsid w:val="00EB4879"/>
    <w:rsid w:val="00EC1376"/>
    <w:rsid w:val="00EC21D3"/>
    <w:rsid w:val="00EF218C"/>
    <w:rsid w:val="00EF7A4C"/>
    <w:rsid w:val="00F26CF5"/>
    <w:rsid w:val="00F374DF"/>
    <w:rsid w:val="00F5688C"/>
    <w:rsid w:val="00F949E8"/>
    <w:rsid w:val="00F975F1"/>
    <w:rsid w:val="00FB4820"/>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B74733"/>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84FF-D947-429E-AAD1-CD22AD46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2020-05-26T06:30:00Z</dcterms:created>
  <dcterms:modified xsi:type="dcterms:W3CDTF">2022-05-16T09:55:00Z</dcterms:modified>
</cp:coreProperties>
</file>