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7312FB" w:rsidRPr="007312FB" w:rsidRDefault="007312FB" w:rsidP="007312FB">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r w:rsidRPr="007312FB">
        <w:rPr>
          <w:rFonts w:ascii="Times New Roman" w:hAnsi="Times New Roman" w:cs="Times New Roman"/>
          <w:iCs/>
        </w:rPr>
        <w:t>м. Кривий Ріг                                                                                       «   »_____________ 2024 року</w:t>
      </w: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F544B4" w:rsidRPr="00CB3F75" w:rsidRDefault="00F544B4" w:rsidP="00F544B4">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F544B4" w:rsidRPr="00CB3F75" w:rsidRDefault="00F544B4" w:rsidP="00F544B4">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F544B4" w:rsidRPr="00CB3F75" w:rsidRDefault="00F544B4" w:rsidP="00F544B4">
      <w:pPr>
        <w:pStyle w:val="1"/>
        <w:shd w:val="clear" w:color="auto" w:fill="FFFFFF"/>
        <w:spacing w:before="0" w:after="0"/>
        <w:textAlignment w:val="baseline"/>
        <w:rPr>
          <w:rFonts w:ascii="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Pr="00F544B4">
        <w:rPr>
          <w:rFonts w:ascii="Times New Roman" w:hAnsi="Times New Roman"/>
          <w:color w:val="000000"/>
          <w:bdr w:val="none" w:sz="0" w:space="0" w:color="auto" w:frame="1"/>
          <w:shd w:val="clear" w:color="auto" w:fill="FDFEFD"/>
        </w:rPr>
        <w:t xml:space="preserve"> </w:t>
      </w:r>
      <w:r w:rsidRPr="00F544B4">
        <w:rPr>
          <w:rFonts w:ascii="Times New Roman" w:eastAsia="Times New Roman" w:hAnsi="Times New Roman"/>
          <w:b w:val="0"/>
          <w:sz w:val="22"/>
          <w:szCs w:val="22"/>
        </w:rPr>
        <w:t xml:space="preserve">Матеріали для ремонту </w:t>
      </w:r>
      <w:proofErr w:type="spellStart"/>
      <w:r w:rsidRPr="00F544B4">
        <w:rPr>
          <w:rFonts w:ascii="Times New Roman" w:eastAsia="Times New Roman" w:hAnsi="Times New Roman"/>
          <w:b w:val="0"/>
          <w:sz w:val="22"/>
          <w:szCs w:val="22"/>
        </w:rPr>
        <w:t>тепло-</w:t>
      </w:r>
      <w:proofErr w:type="spellEnd"/>
      <w:r w:rsidRPr="00F544B4">
        <w:rPr>
          <w:rFonts w:ascii="Times New Roman" w:eastAsia="Times New Roman" w:hAnsi="Times New Roman"/>
          <w:b w:val="0"/>
          <w:sz w:val="22"/>
          <w:szCs w:val="22"/>
        </w:rPr>
        <w:t>, водо-мереж</w:t>
      </w:r>
      <w:r>
        <w:rPr>
          <w:rFonts w:ascii="Times New Roman" w:eastAsia="Times New Roman" w:hAnsi="Times New Roman"/>
          <w:b w:val="0"/>
          <w:sz w:val="22"/>
          <w:szCs w:val="22"/>
        </w:rPr>
        <w:t xml:space="preserve"> (далі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Pr="00F544B4">
        <w:rPr>
          <w:rFonts w:ascii="Times New Roman" w:eastAsia="Times New Roman" w:hAnsi="Times New Roman"/>
          <w:b w:val="0"/>
          <w:sz w:val="22"/>
          <w:szCs w:val="22"/>
        </w:rPr>
        <w:t xml:space="preserve"> 44160000-9 - Магістралі, трубопроводи, труби, обсадні труби, тюбінги та супутні вироби</w:t>
      </w:r>
      <w:r>
        <w:rPr>
          <w:rFonts w:ascii="Times New Roman" w:eastAsia="Times New Roman" w:hAnsi="Times New Roman"/>
          <w:b w:val="0"/>
          <w:sz w:val="22"/>
          <w:szCs w:val="22"/>
        </w:rPr>
        <w:t xml:space="preserve">. </w:t>
      </w:r>
      <w:r w:rsidRPr="00CB3F75">
        <w:rPr>
          <w:rFonts w:ascii="Times New Roman" w:hAnsi="Times New Roman"/>
          <w:b w:val="0"/>
          <w:sz w:val="22"/>
          <w:szCs w:val="22"/>
        </w:rPr>
        <w:t xml:space="preserve"> </w:t>
      </w:r>
    </w:p>
    <w:p w:rsidR="00F544B4" w:rsidRPr="00CB3F75" w:rsidRDefault="00F544B4" w:rsidP="00F544B4">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lang w:val="uk-UA"/>
        </w:rPr>
      </w:pPr>
    </w:p>
    <w:p w:rsidR="00F544B4" w:rsidRPr="00CB3F75" w:rsidRDefault="00F544B4" w:rsidP="00F544B4">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E33B23">
        <w:rPr>
          <w:rFonts w:ascii="Times New Roman" w:hAnsi="Times New Roman"/>
          <w:lang w:val="uk-UA"/>
        </w:rPr>
        <w:t xml:space="preserve">ідно до Специфікації </w:t>
      </w:r>
      <w:r w:rsidRPr="00CB3F75">
        <w:rPr>
          <w:rFonts w:ascii="Times New Roman" w:hAnsi="Times New Roman"/>
          <w:lang w:val="uk-UA"/>
        </w:rPr>
        <w:t xml:space="preserve"> після укладання Договору.</w:t>
      </w:r>
    </w:p>
    <w:p w:rsidR="00F544B4" w:rsidRPr="00CB3F75" w:rsidRDefault="00F544B4" w:rsidP="00F544B4">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F544B4" w:rsidRPr="00CB3F75" w:rsidRDefault="00F544B4" w:rsidP="00F544B4">
      <w:pPr>
        <w:widowControl w:val="0"/>
        <w:autoSpaceDE w:val="0"/>
        <w:autoSpaceDN w:val="0"/>
        <w:adjustRightInd w:val="0"/>
        <w:spacing w:after="0" w:line="240" w:lineRule="auto"/>
        <w:jc w:val="both"/>
        <w:rPr>
          <w:rFonts w:ascii="Times New Roman" w:hAnsi="Times New Roman"/>
          <w:highlight w:val="yellow"/>
          <w:lang w:val="uk-UA"/>
        </w:rPr>
      </w:pPr>
    </w:p>
    <w:p w:rsidR="00F544B4" w:rsidRPr="00CB3F75" w:rsidRDefault="00E33B23" w:rsidP="00E33B23">
      <w:pPr>
        <w:widowControl w:val="0"/>
        <w:tabs>
          <w:tab w:val="center" w:pos="4677"/>
          <w:tab w:val="left" w:pos="8273"/>
        </w:tabs>
        <w:autoSpaceDE w:val="0"/>
        <w:autoSpaceDN w:val="0"/>
        <w:adjustRightInd w:val="0"/>
        <w:spacing w:after="0" w:line="240" w:lineRule="auto"/>
        <w:rPr>
          <w:rFonts w:ascii="Times New Roman" w:hAnsi="Times New Roman"/>
          <w:b/>
          <w:bCs/>
          <w:lang w:val="uk-UA"/>
        </w:rPr>
      </w:pPr>
      <w:r>
        <w:rPr>
          <w:rFonts w:ascii="Times New Roman" w:hAnsi="Times New Roman"/>
          <w:b/>
          <w:bCs/>
        </w:rPr>
        <w:tab/>
      </w:r>
      <w:r w:rsidR="00F544B4" w:rsidRPr="00CB3F75">
        <w:rPr>
          <w:rFonts w:ascii="Times New Roman" w:hAnsi="Times New Roman"/>
          <w:b/>
          <w:bCs/>
        </w:rPr>
        <w:t>VI</w:t>
      </w:r>
      <w:r w:rsidR="00F544B4" w:rsidRPr="00CB3F75">
        <w:rPr>
          <w:rFonts w:ascii="Times New Roman" w:hAnsi="Times New Roman"/>
          <w:b/>
          <w:bCs/>
          <w:lang w:val="uk-UA"/>
        </w:rPr>
        <w:t>. ПРАВА ТА ОБОВ’ЯЗКИ СТОРІН</w:t>
      </w:r>
      <w:r>
        <w:rPr>
          <w:rFonts w:ascii="Times New Roman" w:hAnsi="Times New Roman"/>
          <w:b/>
          <w:bCs/>
          <w:lang w:val="uk-UA"/>
        </w:rPr>
        <w:tab/>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544B4" w:rsidRPr="00CB3F75" w:rsidRDefault="00F544B4" w:rsidP="00F544B4">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F544B4" w:rsidRPr="00CB3F75" w:rsidRDefault="00F544B4" w:rsidP="00F544B4">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F544B4" w:rsidRPr="00CB3F75" w:rsidRDefault="00F544B4" w:rsidP="00F544B4">
      <w:pPr>
        <w:spacing w:after="0" w:line="240" w:lineRule="auto"/>
        <w:ind w:firstLine="567"/>
        <w:jc w:val="both"/>
        <w:rPr>
          <w:rFonts w:ascii="Times New Roman" w:hAnsi="Times New Roman"/>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F544B4" w:rsidRPr="00CB3F75" w:rsidRDefault="00F544B4" w:rsidP="00F544B4">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F544B4" w:rsidRPr="00CB3F75" w:rsidTr="00764E3A">
        <w:trPr>
          <w:trHeight w:val="3431"/>
        </w:trPr>
        <w:tc>
          <w:tcPr>
            <w:tcW w:w="5362"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c>
          <w:tcPr>
            <w:tcW w:w="4860"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r>
    </w:tbl>
    <w:p w:rsidR="00F544B4" w:rsidRPr="00CB3F75" w:rsidRDefault="00F544B4" w:rsidP="00F544B4">
      <w:pPr>
        <w:widowControl w:val="0"/>
        <w:autoSpaceDE w:val="0"/>
        <w:autoSpaceDN w:val="0"/>
        <w:adjustRightInd w:val="0"/>
        <w:spacing w:after="0" w:line="240" w:lineRule="auto"/>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Додаток 1</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 xml:space="preserve">До договору №_____ </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p>
    <w:p w:rsidR="00F544B4" w:rsidRDefault="00F544B4" w:rsidP="00F544B4">
      <w:pPr>
        <w:spacing w:after="0" w:line="240" w:lineRule="auto"/>
        <w:jc w:val="center"/>
        <w:rPr>
          <w:rFonts w:ascii="Times New Roman" w:hAnsi="Times New Roman"/>
          <w:lang w:val="uk-UA"/>
        </w:rPr>
      </w:pPr>
      <w:r w:rsidRPr="00CB3F75">
        <w:rPr>
          <w:rFonts w:ascii="Times New Roman" w:hAnsi="Times New Roman"/>
        </w:rPr>
        <w:t xml:space="preserve">СПЕЦИФІКАЦІЯ </w:t>
      </w:r>
      <w:r w:rsidRPr="00CB3F75">
        <w:rPr>
          <w:rFonts w:ascii="Times New Roman" w:hAnsi="Times New Roman"/>
          <w:lang w:val="uk-UA"/>
        </w:rPr>
        <w:t xml:space="preserve">  </w:t>
      </w:r>
    </w:p>
    <w:p w:rsidR="00F544B4" w:rsidRPr="00CB3F75" w:rsidRDefault="00F544B4" w:rsidP="00F544B4">
      <w:pPr>
        <w:spacing w:after="0" w:line="240" w:lineRule="auto"/>
        <w:jc w:val="center"/>
        <w:rPr>
          <w:rFonts w:ascii="Times New Roman" w:hAnsi="Times New Roman"/>
          <w:lang w:val="uk-UA"/>
        </w:rPr>
      </w:pPr>
    </w:p>
    <w:p w:rsidR="00F544B4" w:rsidRPr="00F544B4" w:rsidRDefault="00F544B4" w:rsidP="00F544B4">
      <w:pPr>
        <w:spacing w:after="0" w:line="240" w:lineRule="auto"/>
        <w:jc w:val="center"/>
        <w:rPr>
          <w:rFonts w:ascii="Times New Roman" w:hAnsi="Times New Roman"/>
          <w:lang w:val="uk-UA"/>
        </w:rPr>
      </w:pPr>
      <w:r w:rsidRPr="00F544B4">
        <w:rPr>
          <w:rFonts w:ascii="Times New Roman" w:eastAsia="Times New Roman" w:hAnsi="Times New Roman" w:cs="Times New Roman"/>
          <w:b/>
          <w:lang w:val="uk-UA"/>
        </w:rPr>
        <w:t xml:space="preserve">Матеріали для ремонту </w:t>
      </w:r>
      <w:proofErr w:type="spellStart"/>
      <w:r w:rsidRPr="00F544B4">
        <w:rPr>
          <w:rFonts w:ascii="Times New Roman" w:eastAsia="Times New Roman" w:hAnsi="Times New Roman" w:cs="Times New Roman"/>
          <w:b/>
          <w:lang w:val="uk-UA"/>
        </w:rPr>
        <w:t>тепло-</w:t>
      </w:r>
      <w:proofErr w:type="spellEnd"/>
      <w:r w:rsidRPr="00F544B4">
        <w:rPr>
          <w:rFonts w:ascii="Times New Roman" w:eastAsia="Times New Roman" w:hAnsi="Times New Roman" w:cs="Times New Roman"/>
          <w:b/>
          <w:lang w:val="uk-UA"/>
        </w:rPr>
        <w:t>, водо-мереж</w:t>
      </w:r>
      <w:r>
        <w:rPr>
          <w:rFonts w:ascii="Times New Roman" w:eastAsia="Times New Roman" w:hAnsi="Times New Roman"/>
          <w:b/>
        </w:rPr>
        <w:t xml:space="preserve"> </w:t>
      </w:r>
    </w:p>
    <w:p w:rsidR="00F544B4" w:rsidRPr="00CB3F75" w:rsidRDefault="00F544B4" w:rsidP="00F544B4">
      <w:pPr>
        <w:spacing w:after="0" w:line="240" w:lineRule="auto"/>
        <w:jc w:val="center"/>
        <w:rPr>
          <w:rFonts w:ascii="Times New Roman" w:hAnsi="Times New Roman"/>
          <w:lang w:val="uk-UA"/>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F544B4" w:rsidRPr="00CB3F75" w:rsidTr="00764E3A">
        <w:tc>
          <w:tcPr>
            <w:tcW w:w="757" w:type="dxa"/>
          </w:tcPr>
          <w:p w:rsidR="00F544B4" w:rsidRPr="00CB3F75" w:rsidRDefault="00F544B4" w:rsidP="00764E3A">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F544B4" w:rsidRPr="00CB3F75" w:rsidRDefault="00F544B4" w:rsidP="00764E3A">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F544B4" w:rsidRPr="00CB3F75" w:rsidRDefault="00F544B4" w:rsidP="00764E3A">
            <w:pPr>
              <w:spacing w:after="0" w:line="240" w:lineRule="auto"/>
              <w:jc w:val="both"/>
              <w:rPr>
                <w:rFonts w:ascii="Times New Roman" w:hAnsi="Times New Roman"/>
                <w:bCs/>
                <w:color w:val="000000"/>
                <w:lang w:val="uk-UA"/>
              </w:rPr>
            </w:pPr>
          </w:p>
        </w:tc>
        <w:tc>
          <w:tcPr>
            <w:tcW w:w="1275" w:type="dxa"/>
            <w:vAlign w:val="center"/>
          </w:tcPr>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F544B4" w:rsidRPr="00CB3F75" w:rsidRDefault="00F544B4" w:rsidP="00764E3A">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F544B4" w:rsidRPr="00CB3F75" w:rsidRDefault="00F544B4" w:rsidP="00764E3A">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Pr="00CB3F75">
              <w:rPr>
                <w:rFonts w:ascii="Times New Roman" w:hAnsi="Times New Roman"/>
                <w:b/>
                <w:bCs/>
                <w:lang w:val="uk-UA"/>
              </w:rPr>
              <w:t>без ПДВ</w:t>
            </w:r>
          </w:p>
        </w:tc>
        <w:tc>
          <w:tcPr>
            <w:tcW w:w="1559" w:type="dxa"/>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Сума без ПДВ</w:t>
            </w:r>
          </w:p>
        </w:tc>
      </w:tr>
      <w:tr w:rsidR="00F544B4" w:rsidRPr="00CB3F75" w:rsidTr="00764E3A">
        <w:tc>
          <w:tcPr>
            <w:tcW w:w="757" w:type="dxa"/>
          </w:tcPr>
          <w:p w:rsidR="00F544B4" w:rsidRPr="00CB3F75" w:rsidRDefault="00F544B4" w:rsidP="00764E3A">
            <w:pPr>
              <w:spacing w:after="0" w:line="240" w:lineRule="auto"/>
              <w:rPr>
                <w:rFonts w:ascii="Times New Roman" w:hAnsi="Times New Roman"/>
                <w:lang w:val="uk-UA"/>
              </w:rPr>
            </w:pPr>
          </w:p>
        </w:tc>
        <w:tc>
          <w:tcPr>
            <w:tcW w:w="2612" w:type="dxa"/>
            <w:vAlign w:val="center"/>
          </w:tcPr>
          <w:p w:rsidR="00F544B4" w:rsidRPr="00CB3F75" w:rsidRDefault="00F544B4" w:rsidP="00764E3A">
            <w:pPr>
              <w:spacing w:after="0" w:line="240" w:lineRule="auto"/>
              <w:rPr>
                <w:rFonts w:ascii="Times New Roman" w:hAnsi="Times New Roman"/>
                <w:lang w:val="uk-UA"/>
              </w:rPr>
            </w:pP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F544B4" w:rsidP="00764E3A">
            <w:pPr>
              <w:spacing w:after="0" w:line="240" w:lineRule="auto"/>
              <w:rPr>
                <w:rFonts w:ascii="Times New Roman" w:hAnsi="Times New Roman"/>
                <w:lang w:val="uk-UA"/>
              </w:rPr>
            </w:pPr>
          </w:p>
        </w:tc>
        <w:tc>
          <w:tcPr>
            <w:tcW w:w="1276" w:type="dxa"/>
            <w:shd w:val="clear" w:color="auto" w:fill="auto"/>
            <w:vAlign w:val="center"/>
          </w:tcPr>
          <w:p w:rsidR="00F544B4" w:rsidRPr="00CB3F75" w:rsidRDefault="00F544B4" w:rsidP="00764E3A">
            <w:pPr>
              <w:spacing w:after="0" w:line="240" w:lineRule="auto"/>
              <w:rPr>
                <w:rFonts w:ascii="Times New Roman" w:hAnsi="Times New Roman"/>
                <w:lang w:val="uk-UA"/>
              </w:rPr>
            </w:pP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c>
          <w:tcPr>
            <w:tcW w:w="757" w:type="dxa"/>
          </w:tcPr>
          <w:p w:rsidR="00F544B4" w:rsidRPr="00981422" w:rsidRDefault="00F544B4" w:rsidP="00764E3A">
            <w:pPr>
              <w:spacing w:after="0" w:line="240" w:lineRule="auto"/>
              <w:rPr>
                <w:rFonts w:ascii="Times New Roman" w:hAnsi="Times New Roman"/>
                <w:lang w:val="uk-UA"/>
              </w:rPr>
            </w:pPr>
          </w:p>
        </w:tc>
        <w:tc>
          <w:tcPr>
            <w:tcW w:w="2612" w:type="dxa"/>
            <w:vAlign w:val="center"/>
          </w:tcPr>
          <w:p w:rsidR="00F544B4" w:rsidRPr="00CB3F75" w:rsidRDefault="00F544B4" w:rsidP="00764E3A">
            <w:pPr>
              <w:spacing w:after="0" w:line="240" w:lineRule="auto"/>
              <w:rPr>
                <w:rFonts w:ascii="Times New Roman" w:hAnsi="Times New Roman"/>
                <w:lang w:val="uk-UA"/>
              </w:rPr>
            </w:pP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F544B4" w:rsidP="00764E3A">
            <w:pPr>
              <w:spacing w:after="0" w:line="240" w:lineRule="auto"/>
              <w:rPr>
                <w:rFonts w:ascii="Times New Roman" w:hAnsi="Times New Roman"/>
                <w:lang w:val="uk-UA"/>
              </w:rPr>
            </w:pPr>
          </w:p>
        </w:tc>
        <w:tc>
          <w:tcPr>
            <w:tcW w:w="1276" w:type="dxa"/>
            <w:shd w:val="clear" w:color="auto" w:fill="auto"/>
            <w:vAlign w:val="center"/>
          </w:tcPr>
          <w:p w:rsidR="00F544B4" w:rsidRPr="00CB3F75" w:rsidRDefault="00F544B4" w:rsidP="00764E3A">
            <w:pPr>
              <w:spacing w:after="0" w:line="240" w:lineRule="auto"/>
              <w:rPr>
                <w:rFonts w:ascii="Times New Roman" w:hAnsi="Times New Roman"/>
                <w:lang w:val="uk-UA"/>
              </w:rPr>
            </w:pP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Разом без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bl>
    <w:p w:rsidR="00F544B4" w:rsidRPr="00CB3F75" w:rsidRDefault="00F544B4" w:rsidP="00F544B4">
      <w:pPr>
        <w:spacing w:after="0" w:line="240" w:lineRule="auto"/>
        <w:jc w:val="center"/>
        <w:rPr>
          <w:rFonts w:ascii="Times New Roman" w:hAnsi="Times New Roman"/>
          <w:highlight w:val="yellow"/>
          <w:lang w:val="uk-UA"/>
        </w:rPr>
      </w:pPr>
    </w:p>
    <w:p w:rsidR="00F544B4" w:rsidRPr="007312FB" w:rsidRDefault="00F544B4" w:rsidP="00F544B4">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F544B4" w:rsidRPr="00CB3F75" w:rsidRDefault="00F544B4" w:rsidP="00F544B4">
      <w:pPr>
        <w:spacing w:after="0" w:line="240" w:lineRule="auto"/>
        <w:jc w:val="center"/>
        <w:rPr>
          <w:rFonts w:ascii="Times New Roman" w:hAnsi="Times New Roman"/>
          <w:highlight w:val="yellow"/>
          <w:lang w:val="uk-UA"/>
        </w:rPr>
      </w:pP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autoSpaceDE w:val="0"/>
        <w:autoSpaceDN w:val="0"/>
        <w:adjustRightInd w:val="0"/>
        <w:spacing w:after="0" w:line="240" w:lineRule="auto"/>
        <w:ind w:left="5640" w:hanging="5640"/>
        <w:rPr>
          <w:rFonts w:ascii="Times New Roman" w:hAnsi="Times New Roman"/>
          <w:lang w:val="uk-UA"/>
        </w:rPr>
      </w:pPr>
    </w:p>
    <w:p w:rsidR="00F544B4" w:rsidRPr="00CB3F75" w:rsidRDefault="00F544B4" w:rsidP="00F544B4">
      <w:pPr>
        <w:ind w:right="-2"/>
        <w:rPr>
          <w:rFonts w:ascii="Times New Roman" w:hAnsi="Times New Roman"/>
          <w:b/>
          <w:shd w:val="clear" w:color="auto" w:fill="FFFFFF"/>
        </w:rPr>
      </w:pPr>
      <w:r>
        <w:rPr>
          <w:rFonts w:ascii="Times New Roman" w:hAnsi="Times New Roman"/>
          <w:lang w:val="uk-UA"/>
        </w:rPr>
        <w:t>В</w:t>
      </w:r>
      <w:r w:rsidRPr="00CB3F75">
        <w:rPr>
          <w:rFonts w:ascii="Times New Roman" w:hAnsi="Times New Roman"/>
        </w:rPr>
        <w:t xml:space="preserve">.о. </w:t>
      </w:r>
      <w:proofErr w:type="spellStart"/>
      <w:r w:rsidRPr="00CB3F75">
        <w:rPr>
          <w:rFonts w:ascii="Times New Roman" w:hAnsi="Times New Roman"/>
        </w:rPr>
        <w:t>Директора_____________</w:t>
      </w:r>
      <w:proofErr w:type="spellEnd"/>
      <w:r w:rsidRPr="00CB3F75">
        <w:rPr>
          <w:rFonts w:ascii="Times New Roman" w:hAnsi="Times New Roman"/>
        </w:rPr>
        <w:t xml:space="preserve">/Петро </w:t>
      </w:r>
      <w:proofErr w:type="gramStart"/>
      <w:r w:rsidRPr="00CB3F75">
        <w:rPr>
          <w:rFonts w:ascii="Times New Roman" w:hAnsi="Times New Roman"/>
        </w:rPr>
        <w:t>П</w:t>
      </w:r>
      <w:proofErr w:type="gramEnd"/>
      <w:r w:rsidRPr="00CB3F75">
        <w:rPr>
          <w:rFonts w:ascii="Times New Roman" w:hAnsi="Times New Roman"/>
        </w:rPr>
        <w:t xml:space="preserve">ІНЧУК/                           </w:t>
      </w:r>
      <w:r w:rsidRPr="00CB3F75">
        <w:rPr>
          <w:rFonts w:ascii="Times New Roman" w:hAnsi="Times New Roman"/>
          <w:shd w:val="clear" w:color="auto" w:fill="FFFFFF"/>
        </w:rPr>
        <w:t>______________________</w:t>
      </w:r>
    </w:p>
    <w:p w:rsidR="00F544B4" w:rsidRPr="00CB3F75" w:rsidRDefault="00F544B4" w:rsidP="00F544B4"/>
    <w:p w:rsidR="007312FB" w:rsidRPr="00F544B4" w:rsidRDefault="007312FB" w:rsidP="007312FB">
      <w:pPr>
        <w:pStyle w:val="a6"/>
        <w:tabs>
          <w:tab w:val="left" w:pos="7230"/>
        </w:tabs>
        <w:spacing w:after="0" w:line="100" w:lineRule="atLeast"/>
        <w:ind w:right="-2" w:firstLine="426"/>
        <w:rPr>
          <w:rFonts w:ascii="Times New Roman" w:hAnsi="Times New Roman" w:cs="Times New Roman"/>
          <w:iCs/>
          <w:lang w:val="ru-RU"/>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bookmarkStart w:id="0" w:name="_Hlk147923260"/>
    </w:p>
    <w:bookmarkEnd w:id="0"/>
    <w:p w:rsidR="002D6D97" w:rsidRPr="00A17763" w:rsidRDefault="002D6D97">
      <w:pPr>
        <w:rPr>
          <w:lang w:val="uk-UA"/>
        </w:rPr>
      </w:pPr>
    </w:p>
    <w:sectPr w:rsidR="002D6D97" w:rsidRPr="00A17763"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F2593"/>
    <w:rsid w:val="000F2CBC"/>
    <w:rsid w:val="001064D7"/>
    <w:rsid w:val="00134123"/>
    <w:rsid w:val="002D6D97"/>
    <w:rsid w:val="003804A1"/>
    <w:rsid w:val="004C7F56"/>
    <w:rsid w:val="00551F02"/>
    <w:rsid w:val="005E0553"/>
    <w:rsid w:val="00610E8C"/>
    <w:rsid w:val="00710282"/>
    <w:rsid w:val="007312FB"/>
    <w:rsid w:val="0078425F"/>
    <w:rsid w:val="008B13AD"/>
    <w:rsid w:val="009B1949"/>
    <w:rsid w:val="00A17763"/>
    <w:rsid w:val="00A4641C"/>
    <w:rsid w:val="00AE7D74"/>
    <w:rsid w:val="00B00C1C"/>
    <w:rsid w:val="00CC4208"/>
    <w:rsid w:val="00D549A3"/>
    <w:rsid w:val="00D61124"/>
    <w:rsid w:val="00E33B23"/>
    <w:rsid w:val="00F5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F544B4"/>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F544B4"/>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2024-01-31T10:45:00Z</dcterms:created>
  <dcterms:modified xsi:type="dcterms:W3CDTF">2024-03-20T09:41:00Z</dcterms:modified>
</cp:coreProperties>
</file>