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81717" w:rsidRPr="00E5733B" w:rsidRDefault="005553A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 Уповноваженої особи</w:t>
      </w:r>
    </w:p>
    <w:p w:rsidR="00B06983" w:rsidRDefault="00B06983" w:rsidP="00B06983">
      <w:pPr>
        <w:spacing w:after="0"/>
        <w:jc w:val="right"/>
        <w:rPr>
          <w:rFonts w:ascii="Times New Roman" w:hAnsi="Times New Roman" w:cs="Times New Roman"/>
          <w:sz w:val="28"/>
          <w:szCs w:val="28"/>
        </w:rPr>
      </w:pPr>
      <w:r w:rsidRPr="00B06983">
        <w:rPr>
          <w:rFonts w:ascii="Times New Roman" w:hAnsi="Times New Roman" w:cs="Times New Roman"/>
          <w:sz w:val="28"/>
          <w:szCs w:val="28"/>
        </w:rPr>
        <w:t xml:space="preserve">Гадяцька міжрайонна державна  </w:t>
      </w:r>
    </w:p>
    <w:p w:rsidR="00B06983" w:rsidRDefault="00B06983" w:rsidP="00B06983">
      <w:pPr>
        <w:spacing w:after="0"/>
        <w:jc w:val="right"/>
        <w:rPr>
          <w:rFonts w:ascii="Times New Roman" w:hAnsi="Times New Roman" w:cs="Times New Roman"/>
          <w:sz w:val="28"/>
          <w:szCs w:val="28"/>
        </w:rPr>
      </w:pPr>
      <w:r w:rsidRPr="00B06983">
        <w:rPr>
          <w:rFonts w:ascii="Times New Roman" w:hAnsi="Times New Roman" w:cs="Times New Roman"/>
          <w:sz w:val="28"/>
          <w:szCs w:val="28"/>
        </w:rPr>
        <w:t xml:space="preserve">лабораторія Державної служби України </w:t>
      </w:r>
    </w:p>
    <w:p w:rsidR="00B06983" w:rsidRDefault="00B06983" w:rsidP="00B06983">
      <w:pPr>
        <w:spacing w:after="0"/>
        <w:jc w:val="right"/>
        <w:rPr>
          <w:rFonts w:ascii="Times New Roman" w:hAnsi="Times New Roman" w:cs="Times New Roman"/>
          <w:sz w:val="28"/>
          <w:szCs w:val="28"/>
        </w:rPr>
      </w:pPr>
      <w:r w:rsidRPr="00B06983">
        <w:rPr>
          <w:rFonts w:ascii="Times New Roman" w:hAnsi="Times New Roman" w:cs="Times New Roman"/>
          <w:sz w:val="28"/>
          <w:szCs w:val="28"/>
        </w:rPr>
        <w:t xml:space="preserve">з питань безпечності харчових </w:t>
      </w:r>
    </w:p>
    <w:p w:rsidR="00B06983" w:rsidRPr="00B06983" w:rsidRDefault="00B06983" w:rsidP="00B06983">
      <w:pPr>
        <w:spacing w:after="0"/>
        <w:jc w:val="right"/>
        <w:rPr>
          <w:rFonts w:ascii="Times New Roman" w:hAnsi="Times New Roman" w:cs="Times New Roman"/>
          <w:b/>
          <w:sz w:val="24"/>
          <w:szCs w:val="24"/>
        </w:rPr>
      </w:pPr>
      <w:proofErr w:type="spellStart"/>
      <w:r w:rsidRPr="00B06983">
        <w:rPr>
          <w:rFonts w:ascii="Times New Roman" w:hAnsi="Times New Roman" w:cs="Times New Roman"/>
          <w:sz w:val="28"/>
          <w:szCs w:val="28"/>
        </w:rPr>
        <w:t>родуктів</w:t>
      </w:r>
      <w:proofErr w:type="spellEnd"/>
      <w:r w:rsidRPr="00B06983">
        <w:rPr>
          <w:rFonts w:ascii="Times New Roman" w:hAnsi="Times New Roman" w:cs="Times New Roman"/>
          <w:sz w:val="28"/>
          <w:szCs w:val="28"/>
        </w:rPr>
        <w:t xml:space="preserve"> та захисту споживачів</w:t>
      </w:r>
    </w:p>
    <w:p w:rsidR="00240E9A" w:rsidRPr="00E5733B" w:rsidRDefault="00240E9A" w:rsidP="00240E9A">
      <w:pPr>
        <w:spacing w:after="0" w:line="240" w:lineRule="auto"/>
        <w:ind w:left="-1418"/>
        <w:jc w:val="right"/>
        <w:rPr>
          <w:rFonts w:ascii="Times New Roman" w:eastAsia="Times New Roman" w:hAnsi="Times New Roman" w:cs="Times New Roman"/>
          <w:b/>
          <w:sz w:val="24"/>
          <w:szCs w:val="24"/>
          <w:highlight w:val="yellow"/>
        </w:rPr>
      </w:pPr>
    </w:p>
    <w:p w:rsidR="00C81717" w:rsidRPr="00E5733B" w:rsidRDefault="003E52BB">
      <w:pPr>
        <w:spacing w:after="0" w:line="240" w:lineRule="auto"/>
        <w:jc w:val="right"/>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06.12</w:t>
      </w:r>
      <w:r w:rsidR="005553A9" w:rsidRPr="00E5733B">
        <w:rPr>
          <w:rFonts w:ascii="Times New Roman" w:eastAsia="Times New Roman" w:hAnsi="Times New Roman" w:cs="Times New Roman"/>
          <w:b/>
          <w:sz w:val="24"/>
          <w:szCs w:val="24"/>
          <w:highlight w:val="yellow"/>
        </w:rPr>
        <w:t>.20</w:t>
      </w:r>
      <w:r w:rsidR="00240E9A" w:rsidRPr="00E5733B">
        <w:rPr>
          <w:rFonts w:ascii="Times New Roman" w:eastAsia="Times New Roman" w:hAnsi="Times New Roman" w:cs="Times New Roman"/>
          <w:b/>
          <w:sz w:val="24"/>
          <w:szCs w:val="24"/>
          <w:highlight w:val="yellow"/>
        </w:rPr>
        <w:t>22</w:t>
      </w:r>
      <w:r w:rsidR="005553A9" w:rsidRPr="00E5733B">
        <w:rPr>
          <w:rFonts w:ascii="Times New Roman" w:eastAsia="Times New Roman" w:hAnsi="Times New Roman" w:cs="Times New Roman"/>
          <w:b/>
          <w:sz w:val="24"/>
          <w:szCs w:val="24"/>
          <w:highlight w:val="yellow"/>
        </w:rPr>
        <w:t xml:space="preserve"> №</w:t>
      </w:r>
      <w:r w:rsidR="006D7C19">
        <w:rPr>
          <w:rFonts w:ascii="Times New Roman" w:eastAsia="Times New Roman" w:hAnsi="Times New Roman" w:cs="Times New Roman"/>
          <w:b/>
          <w:sz w:val="24"/>
          <w:szCs w:val="24"/>
          <w:highlight w:val="yellow"/>
        </w:rPr>
        <w:t>5</w:t>
      </w: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E5733B">
        <w:rPr>
          <w:rFonts w:ascii="Times New Roman" w:hAnsi="Times New Roman" w:cs="Times New Roman"/>
          <w:b/>
          <w:bCs/>
          <w:sz w:val="28"/>
          <w:szCs w:val="24"/>
          <w:highlight w:val="yellow"/>
        </w:rPr>
        <w:t>на потребу 202</w:t>
      </w:r>
      <w:r w:rsidR="006D7C19">
        <w:rPr>
          <w:rFonts w:ascii="Times New Roman" w:hAnsi="Times New Roman" w:cs="Times New Roman"/>
          <w:b/>
          <w:bCs/>
          <w:sz w:val="28"/>
          <w:szCs w:val="24"/>
          <w:highlight w:val="yellow"/>
        </w:rPr>
        <w:t>3</w:t>
      </w:r>
      <w:r w:rsidRPr="00E5733B">
        <w:rPr>
          <w:rFonts w:ascii="Times New Roman" w:hAnsi="Times New Roman" w:cs="Times New Roman"/>
          <w:b/>
          <w:bCs/>
          <w:sz w:val="28"/>
          <w:szCs w:val="24"/>
          <w:highlight w:val="yellow"/>
        </w:rPr>
        <w:t xml:space="preserve">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D86F39">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E5733B">
        <w:rPr>
          <w:rFonts w:ascii="Times New Roman" w:eastAsia="Times New Roman" w:hAnsi="Times New Roman" w:cs="Times New Roman"/>
          <w:b/>
          <w:sz w:val="28"/>
          <w:szCs w:val="24"/>
          <w:highlight w:val="yellow"/>
        </w:rPr>
        <w:t xml:space="preserve">м. </w:t>
      </w:r>
      <w:proofErr w:type="spellStart"/>
      <w:r w:rsidR="00B06983">
        <w:rPr>
          <w:rFonts w:ascii="Times New Roman" w:eastAsia="Times New Roman" w:hAnsi="Times New Roman" w:cs="Times New Roman"/>
          <w:b/>
          <w:sz w:val="28"/>
          <w:szCs w:val="24"/>
          <w:highlight w:val="yellow"/>
        </w:rPr>
        <w:t>Гадяч</w:t>
      </w:r>
      <w:r w:rsidR="005553A9" w:rsidRPr="00E5733B">
        <w:rPr>
          <w:rFonts w:ascii="Times New Roman" w:eastAsia="Times New Roman" w:hAnsi="Times New Roman" w:cs="Times New Roman"/>
          <w:b/>
          <w:i/>
          <w:sz w:val="28"/>
          <w:szCs w:val="24"/>
          <w:highlight w:val="yellow"/>
        </w:rPr>
        <w:t>-</w:t>
      </w:r>
      <w:proofErr w:type="spellEnd"/>
      <w:r w:rsidR="005553A9" w:rsidRPr="00E5733B">
        <w:rPr>
          <w:rFonts w:ascii="Times New Roman" w:eastAsia="Times New Roman" w:hAnsi="Times New Roman" w:cs="Times New Roman"/>
          <w:b/>
          <w:i/>
          <w:sz w:val="28"/>
          <w:szCs w:val="24"/>
          <w:highlight w:val="yellow"/>
        </w:rPr>
        <w:t xml:space="preserve"> </w:t>
      </w:r>
      <w:r w:rsidR="005553A9" w:rsidRPr="00E5733B">
        <w:rPr>
          <w:rFonts w:ascii="Times New Roman" w:eastAsia="Times New Roman" w:hAnsi="Times New Roman" w:cs="Times New Roman"/>
          <w:b/>
          <w:color w:val="000000"/>
          <w:sz w:val="28"/>
          <w:szCs w:val="24"/>
          <w:highlight w:val="yellow"/>
        </w:rPr>
        <w:t>20</w:t>
      </w:r>
      <w:r w:rsidR="006D7C19">
        <w:rPr>
          <w:rFonts w:ascii="Times New Roman" w:eastAsia="Times New Roman" w:hAnsi="Times New Roman" w:cs="Times New Roman"/>
          <w:b/>
          <w:color w:val="000000"/>
          <w:sz w:val="28"/>
          <w:szCs w:val="24"/>
          <w:highlight w:val="yellow"/>
        </w:rPr>
        <w:t>22</w:t>
      </w:r>
      <w:r w:rsidR="005553A9" w:rsidRPr="00E5733B">
        <w:rPr>
          <w:rFonts w:ascii="Times New Roman" w:eastAsia="Times New Roman" w:hAnsi="Times New Roman" w:cs="Times New Roman"/>
          <w:b/>
          <w:color w:val="000000"/>
          <w:sz w:val="28"/>
          <w:szCs w:val="24"/>
          <w:highlight w:val="yellow"/>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Pr="00B06983" w:rsidRDefault="00B06983" w:rsidP="00B06983">
            <w:pPr>
              <w:rPr>
                <w:rFonts w:ascii="Times New Roman" w:hAnsi="Times New Roman" w:cs="Times New Roman"/>
                <w:b/>
                <w:sz w:val="24"/>
                <w:szCs w:val="24"/>
              </w:rPr>
            </w:pPr>
            <w:r w:rsidRPr="00B06983">
              <w:rPr>
                <w:rFonts w:ascii="Times New Roman" w:hAnsi="Times New Roman" w:cs="Times New Roman"/>
                <w:sz w:val="24"/>
                <w:szCs w:val="24"/>
              </w:rPr>
              <w:t>Гадяцька міжрайонна державна  лабораторія Державної служби України з питань безпечності харчових продуктів та захисту споживачів</w:t>
            </w: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1717" w:rsidRDefault="00B06983" w:rsidP="001749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Гагаріна 80 м. Гадяч Миргородський р-н (Гадяцький ) Полтавська обл. 37300</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06983" w:rsidRPr="00B06983" w:rsidRDefault="00B06983" w:rsidP="00B06983">
            <w:pPr>
              <w:pStyle w:val="rvps2"/>
              <w:widowControl w:val="0"/>
              <w:tabs>
                <w:tab w:val="left" w:pos="993"/>
              </w:tabs>
              <w:spacing w:before="0" w:after="0"/>
              <w:jc w:val="both"/>
              <w:rPr>
                <w:color w:val="FF0000"/>
                <w:sz w:val="22"/>
                <w:szCs w:val="22"/>
                <w:lang w:val="ru-RU"/>
              </w:rPr>
            </w:pPr>
            <w:proofErr w:type="spellStart"/>
            <w:r>
              <w:rPr>
                <w:bCs/>
                <w:color w:val="000000"/>
                <w:sz w:val="22"/>
                <w:szCs w:val="22"/>
              </w:rPr>
              <w:t>Явтушенко</w:t>
            </w:r>
            <w:proofErr w:type="spellEnd"/>
            <w:r>
              <w:rPr>
                <w:bCs/>
                <w:color w:val="000000"/>
                <w:sz w:val="22"/>
                <w:szCs w:val="22"/>
              </w:rPr>
              <w:t xml:space="preserve"> Наталія Петрівна</w:t>
            </w:r>
            <w:r w:rsidRPr="00B321A0">
              <w:rPr>
                <w:bCs/>
                <w:color w:val="000000"/>
                <w:sz w:val="22"/>
                <w:szCs w:val="22"/>
              </w:rPr>
              <w:t xml:space="preserve"> – уповноважена особа, </w:t>
            </w:r>
            <w:r w:rsidRPr="00B321A0">
              <w:rPr>
                <w:i/>
                <w:color w:val="000000"/>
                <w:sz w:val="22"/>
                <w:szCs w:val="22"/>
              </w:rPr>
              <w:t>тел..</w:t>
            </w:r>
            <w:r w:rsidRPr="00B321A0">
              <w:rPr>
                <w:color w:val="000000"/>
              </w:rPr>
              <w:t xml:space="preserve"> </w:t>
            </w:r>
            <w:r w:rsidRPr="00B321A0">
              <w:rPr>
                <w:i/>
                <w:color w:val="000000"/>
                <w:sz w:val="22"/>
                <w:szCs w:val="22"/>
              </w:rPr>
              <w:t>+380665240560</w:t>
            </w:r>
            <w:r w:rsidRPr="00B321A0">
              <w:rPr>
                <w:color w:val="000000"/>
                <w:sz w:val="22"/>
                <w:szCs w:val="22"/>
              </w:rPr>
              <w:t>,</w:t>
            </w:r>
            <w:r w:rsidRPr="00B321A0">
              <w:rPr>
                <w:color w:val="FF0000"/>
                <w:sz w:val="22"/>
                <w:szCs w:val="22"/>
              </w:rPr>
              <w:t xml:space="preserve"> </w:t>
            </w:r>
            <w:r w:rsidRPr="00B321A0">
              <w:rPr>
                <w:color w:val="000000"/>
                <w:sz w:val="22"/>
                <w:szCs w:val="22"/>
              </w:rPr>
              <w:t>електронна адреса:</w:t>
            </w:r>
            <w:r w:rsidRPr="00B321A0">
              <w:rPr>
                <w:b/>
                <w:bCs/>
                <w:color w:val="000000"/>
              </w:rPr>
              <w:t xml:space="preserve"> </w:t>
            </w:r>
            <w:r w:rsidRPr="00B321A0">
              <w:rPr>
                <w:b/>
                <w:color w:val="000000"/>
              </w:rPr>
              <w:t xml:space="preserve"> </w:t>
            </w:r>
            <w:proofErr w:type="spellStart"/>
            <w:r w:rsidRPr="00B321A0">
              <w:rPr>
                <w:color w:val="000000"/>
                <w:u w:val="single"/>
                <w:lang w:val="en-US"/>
              </w:rPr>
              <w:t>gdlab</w:t>
            </w:r>
            <w:proofErr w:type="spellEnd"/>
            <w:r w:rsidRPr="00B321A0">
              <w:rPr>
                <w:color w:val="000000"/>
                <w:u w:val="single"/>
              </w:rPr>
              <w:t>@</w:t>
            </w:r>
            <w:proofErr w:type="spellStart"/>
            <w:r w:rsidRPr="00B321A0">
              <w:rPr>
                <w:color w:val="000000"/>
                <w:u w:val="single"/>
                <w:lang w:val="en-US"/>
              </w:rPr>
              <w:t>polvet</w:t>
            </w:r>
            <w:proofErr w:type="spellEnd"/>
            <w:r w:rsidRPr="00B321A0">
              <w:rPr>
                <w:color w:val="000000"/>
                <w:u w:val="single"/>
              </w:rPr>
              <w:t>.</w:t>
            </w:r>
            <w:proofErr w:type="spellStart"/>
            <w:r w:rsidRPr="00B321A0">
              <w:rPr>
                <w:color w:val="000000"/>
                <w:u w:val="single"/>
                <w:lang w:val="en-US"/>
              </w:rPr>
              <w:t>gov</w:t>
            </w:r>
            <w:proofErr w:type="spellEnd"/>
            <w:r w:rsidRPr="00B321A0">
              <w:rPr>
                <w:color w:val="000000"/>
                <w:u w:val="single"/>
              </w:rPr>
              <w:t>.</w:t>
            </w:r>
            <w:proofErr w:type="spellStart"/>
            <w:r w:rsidRPr="00B321A0">
              <w:rPr>
                <w:color w:val="000000"/>
                <w:u w:val="single"/>
                <w:lang w:val="en-US"/>
              </w:rPr>
              <w:t>ua</w:t>
            </w:r>
            <w:proofErr w:type="spellEnd"/>
          </w:p>
          <w:p w:rsidR="00C81717" w:rsidRPr="00B06983" w:rsidRDefault="00C81717">
            <w:pPr>
              <w:jc w:val="both"/>
              <w:rPr>
                <w:rFonts w:ascii="Times New Roman" w:eastAsia="Times New Roman" w:hAnsi="Times New Roman" w:cs="Times New Roman"/>
                <w:sz w:val="24"/>
                <w:szCs w:val="24"/>
                <w:lang w:val="ru-RU"/>
              </w:rPr>
            </w:pP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D07B0C" w:rsidRDefault="00C020C1" w:rsidP="003E52BB">
            <w:pPr>
              <w:widowControl w:val="0"/>
              <w:spacing w:beforeLines="50" w:afterLines="50"/>
              <w:ind w:right="113" w:hanging="2"/>
              <w:contextualSpacing/>
              <w:rPr>
                <w:rFonts w:ascii="Times New Roman" w:hAnsi="Times New Roman"/>
                <w:sz w:val="24"/>
                <w:szCs w:val="24"/>
                <w:highlight w:val="yellow"/>
              </w:rPr>
            </w:pPr>
            <w:r w:rsidRPr="00D07B0C">
              <w:rPr>
                <w:rFonts w:ascii="Times New Roman" w:hAnsi="Times New Roman"/>
                <w:sz w:val="24"/>
                <w:szCs w:val="24"/>
                <w:highlight w:val="yellow"/>
              </w:rPr>
              <w:t>ДК 021:2015: 09310000-5 — Електрична енергія</w:t>
            </w:r>
          </w:p>
          <w:p w:rsidR="00C81717" w:rsidRDefault="00C020C1" w:rsidP="00C020C1">
            <w:pPr>
              <w:jc w:val="both"/>
              <w:rPr>
                <w:rFonts w:ascii="Times New Roman" w:eastAsia="Times New Roman" w:hAnsi="Times New Roman" w:cs="Times New Roman"/>
                <w:i/>
                <w:sz w:val="24"/>
                <w:szCs w:val="24"/>
              </w:rPr>
            </w:pPr>
            <w:r w:rsidRPr="00D07B0C">
              <w:rPr>
                <w:rFonts w:ascii="Times New Roman" w:hAnsi="Times New Roman"/>
                <w:bCs/>
                <w:sz w:val="24"/>
                <w:szCs w:val="24"/>
                <w:highlight w:val="yellow"/>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2644E3"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C14963">
              <w:rPr>
                <w:rFonts w:ascii="Times New Roman" w:hAnsi="Times New Roman" w:cs="Times New Roman"/>
                <w:sz w:val="24"/>
                <w:szCs w:val="24"/>
                <w:highlight w:val="yellow"/>
              </w:rPr>
              <w:t>31.12.202</w:t>
            </w:r>
            <w:r w:rsidR="006D7C19">
              <w:rPr>
                <w:rFonts w:ascii="Times New Roman" w:hAnsi="Times New Roman" w:cs="Times New Roman"/>
                <w:sz w:val="24"/>
                <w:szCs w:val="24"/>
                <w:highlight w:val="yellow"/>
              </w:rPr>
              <w:t>3</w:t>
            </w:r>
            <w:r w:rsidR="00B06983">
              <w:rPr>
                <w:rFonts w:ascii="Times New Roman" w:hAnsi="Times New Roman" w:cs="Times New Roman"/>
                <w:sz w:val="24"/>
                <w:szCs w:val="24"/>
                <w:highlight w:val="yellow"/>
              </w:rPr>
              <w:t xml:space="preserve"> </w:t>
            </w:r>
            <w:r w:rsidRPr="00C14963">
              <w:rPr>
                <w:rFonts w:ascii="Times New Roman" w:hAnsi="Times New Roman" w:cs="Times New Roman"/>
                <w:sz w:val="24"/>
                <w:szCs w:val="24"/>
                <w:highlight w:val="yellow"/>
              </w:rPr>
              <w:t>року</w:t>
            </w:r>
            <w:r w:rsidRPr="002644E3">
              <w:rPr>
                <w:rFonts w:ascii="Times New Roman" w:hAnsi="Times New Roman" w:cs="Times New Roman"/>
                <w:sz w:val="24"/>
                <w:szCs w:val="24"/>
              </w:rPr>
              <w:t xml:space="preserve"> складає: </w:t>
            </w:r>
          </w:p>
          <w:p w:rsidR="00D07B0C" w:rsidRPr="002644E3" w:rsidRDefault="00D07B0C" w:rsidP="00D07B0C">
            <w:pPr>
              <w:jc w:val="both"/>
              <w:rPr>
                <w:rFonts w:ascii="Times New Roman" w:hAnsi="Times New Roman" w:cs="Times New Roman"/>
                <w:b/>
                <w:sz w:val="24"/>
                <w:szCs w:val="24"/>
              </w:rPr>
            </w:pPr>
            <w:r w:rsidRPr="002644E3">
              <w:rPr>
                <w:rFonts w:ascii="Times New Roman" w:hAnsi="Times New Roman" w:cs="Times New Roman"/>
                <w:sz w:val="24"/>
                <w:szCs w:val="24"/>
              </w:rPr>
              <w:t xml:space="preserve">Кількість – </w:t>
            </w:r>
            <w:r w:rsidR="006D7C19">
              <w:rPr>
                <w:rFonts w:ascii="Times New Roman" w:hAnsi="Times New Roman" w:cs="Times New Roman"/>
                <w:b/>
                <w:sz w:val="24"/>
                <w:szCs w:val="24"/>
                <w:highlight w:val="yellow"/>
              </w:rPr>
              <w:t>251</w:t>
            </w:r>
            <w:r w:rsidR="00B06983">
              <w:rPr>
                <w:rFonts w:ascii="Times New Roman" w:hAnsi="Times New Roman" w:cs="Times New Roman"/>
                <w:b/>
                <w:sz w:val="24"/>
                <w:szCs w:val="24"/>
                <w:highlight w:val="yellow"/>
              </w:rPr>
              <w:t>00</w:t>
            </w:r>
            <w:r w:rsidRPr="002644E3">
              <w:rPr>
                <w:rFonts w:ascii="Times New Roman" w:hAnsi="Times New Roman" w:cs="Times New Roman"/>
                <w:b/>
                <w:sz w:val="24"/>
                <w:szCs w:val="24"/>
                <w:highlight w:val="yellow"/>
              </w:rPr>
              <w:t xml:space="preserve"> кВт./год.</w:t>
            </w:r>
          </w:p>
          <w:p w:rsidR="00D07B0C" w:rsidRPr="002644E3" w:rsidRDefault="00D07B0C" w:rsidP="00D07B0C">
            <w:pPr>
              <w:jc w:val="both"/>
              <w:rPr>
                <w:rFonts w:ascii="Times New Roman" w:hAnsi="Times New Roman" w:cs="Times New Roman"/>
                <w:b/>
                <w:sz w:val="24"/>
                <w:szCs w:val="24"/>
              </w:rPr>
            </w:pPr>
            <w:r w:rsidRPr="002644E3">
              <w:rPr>
                <w:rFonts w:ascii="Times New Roman" w:hAnsi="Times New Roman" w:cs="Times New Roman"/>
                <w:b/>
                <w:sz w:val="24"/>
                <w:szCs w:val="24"/>
              </w:rPr>
              <w:t>Місце поставки:</w:t>
            </w:r>
          </w:p>
          <w:p w:rsidR="00B06983" w:rsidRDefault="00B06983" w:rsidP="008C2F6E">
            <w:pPr>
              <w:widowControl w:val="0"/>
              <w:ind w:right="120"/>
              <w:jc w:val="both"/>
              <w:rPr>
                <w:rFonts w:ascii="Times New Roman" w:hAnsi="Times New Roman" w:cs="Times New Roman"/>
                <w:sz w:val="24"/>
                <w:szCs w:val="24"/>
              </w:rPr>
            </w:pPr>
            <w:r>
              <w:rPr>
                <w:rFonts w:ascii="Times New Roman" w:eastAsia="Times New Roman" w:hAnsi="Times New Roman" w:cs="Times New Roman"/>
                <w:sz w:val="24"/>
                <w:szCs w:val="24"/>
              </w:rPr>
              <w:t xml:space="preserve">Вул.. Гагаріна 80 </w:t>
            </w:r>
            <w:proofErr w:type="spellStart"/>
            <w:r>
              <w:rPr>
                <w:rFonts w:ascii="Times New Roman" w:eastAsia="Times New Roman" w:hAnsi="Times New Roman" w:cs="Times New Roman"/>
                <w:sz w:val="24"/>
                <w:szCs w:val="24"/>
              </w:rPr>
              <w:t>м.Гадяч</w:t>
            </w:r>
            <w:proofErr w:type="spellEnd"/>
            <w:r>
              <w:rPr>
                <w:rFonts w:ascii="Times New Roman" w:eastAsia="Times New Roman" w:hAnsi="Times New Roman" w:cs="Times New Roman"/>
                <w:sz w:val="24"/>
                <w:szCs w:val="24"/>
              </w:rPr>
              <w:t xml:space="preserve"> Миргородський р-н (Гадяцький ) Полтавська обл. 37300</w:t>
            </w:r>
          </w:p>
          <w:p w:rsidR="00C81717" w:rsidRDefault="00D07B0C" w:rsidP="008C2F6E">
            <w:pPr>
              <w:widowControl w:val="0"/>
              <w:ind w:right="120"/>
              <w:jc w:val="both"/>
              <w:rPr>
                <w:rFonts w:ascii="Times New Roman" w:hAnsi="Times New Roman" w:cs="Times New Roman"/>
                <w:sz w:val="24"/>
                <w:szCs w:val="24"/>
                <w:lang w:val="ru-RU"/>
              </w:rPr>
            </w:pPr>
            <w:r w:rsidRPr="002644E3">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2644E3">
              <w:rPr>
                <w:rFonts w:ascii="Times New Roman" w:hAnsi="Times New Roman" w:cs="Times New Roman"/>
                <w:sz w:val="24"/>
                <w:szCs w:val="24"/>
                <w:lang w:val="ru-RU"/>
              </w:rPr>
              <w:t>.</w:t>
            </w:r>
          </w:p>
          <w:p w:rsidR="00C81717" w:rsidRDefault="00AC0E01">
            <w:pPr>
              <w:widowControl w:val="0"/>
              <w:ind w:right="120"/>
              <w:jc w:val="both"/>
              <w:rPr>
                <w:rFonts w:ascii="Times New Roman" w:eastAsia="Times New Roman" w:hAnsi="Times New Roman" w:cs="Times New Roman"/>
                <w:sz w:val="24"/>
                <w:szCs w:val="24"/>
                <w:highlight w:val="magenta"/>
              </w:rPr>
            </w:pPr>
            <w:r w:rsidRPr="00AC0E01">
              <w:rPr>
                <w:rFonts w:ascii="Times New Roman" w:eastAsia="Times New Roman" w:hAnsi="Times New Roman" w:cs="Times New Roman"/>
                <w:i/>
                <w:sz w:val="24"/>
                <w:szCs w:val="24"/>
                <w:highlight w:val="white"/>
              </w:rPr>
              <w:t>*</w:t>
            </w:r>
            <w:r w:rsidR="005553A9" w:rsidRPr="00AC0E01">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w:t>
            </w:r>
            <w:r w:rsidR="005553A9" w:rsidRPr="00AC0E01">
              <w:rPr>
                <w:rFonts w:ascii="Times New Roman" w:eastAsia="Times New Roman" w:hAnsi="Times New Roman" w:cs="Times New Roman"/>
                <w:i/>
                <w:sz w:val="24"/>
                <w:szCs w:val="24"/>
                <w:highlight w:val="white"/>
              </w:rPr>
              <w:lastRenderedPageBreak/>
              <w:t>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Default="00C81717">
            <w:pPr>
              <w:widowControl w:val="0"/>
              <w:ind w:right="120"/>
              <w:jc w:val="both"/>
              <w:rPr>
                <w:rFonts w:ascii="Times New Roman" w:eastAsia="Times New Roman" w:hAnsi="Times New Roman" w:cs="Times New Roman"/>
                <w:i/>
                <w:color w:val="4A86E8"/>
                <w:sz w:val="24"/>
                <w:szCs w:val="24"/>
                <w:highlight w:val="white"/>
              </w:rPr>
            </w:pP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Default="005553A9" w:rsidP="00B0698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до  31 грудня  20</w:t>
            </w:r>
            <w:r w:rsidR="006D7C19">
              <w:rPr>
                <w:rFonts w:ascii="Times New Roman" w:eastAsia="Times New Roman" w:hAnsi="Times New Roman" w:cs="Times New Roman"/>
                <w:color w:val="000000"/>
                <w:sz w:val="24"/>
                <w:szCs w:val="24"/>
                <w:highlight w:val="yellow"/>
              </w:rPr>
              <w:t>23</w:t>
            </w:r>
            <w:r>
              <w:rPr>
                <w:rFonts w:ascii="Times New Roman" w:eastAsia="Times New Roman" w:hAnsi="Times New Roman" w:cs="Times New Roman"/>
                <w:color w:val="000000"/>
                <w:sz w:val="24"/>
                <w:szCs w:val="24"/>
                <w:highlight w:val="yellow"/>
              </w:rPr>
              <w:t xml:space="preserve"> року включно</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Статуту або іншого установчого документу в останній редакції. У випадку, якщо Учасник діє на </w:t>
            </w:r>
            <w:r w:rsidRPr="007F099F">
              <w:rPr>
                <w:rFonts w:ascii="Times New Roman" w:eastAsia="Times New Roman" w:hAnsi="Times New Roman" w:cs="Times New Roman"/>
                <w:sz w:val="24"/>
                <w:szCs w:val="24"/>
              </w:rPr>
              <w:lastRenderedPageBreak/>
              <w:t>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B06983">
              <w:rPr>
                <w:rFonts w:ascii="Times New Roman" w:eastAsia="Times New Roman" w:hAnsi="Times New Roman" w:cs="Times New Roman"/>
                <w:b/>
                <w:sz w:val="24"/>
                <w:szCs w:val="24"/>
              </w:rPr>
              <w:t xml:space="preserve">повинні бути адресовані </w:t>
            </w:r>
            <w:r w:rsidR="00B06983" w:rsidRPr="00B06983">
              <w:rPr>
                <w:rFonts w:ascii="Times New Roman" w:hAnsi="Times New Roman" w:cs="Times New Roman"/>
                <w:b/>
                <w:sz w:val="24"/>
                <w:szCs w:val="24"/>
              </w:rPr>
              <w:t>Гадяцька міжрайонна державна  лабораторія Державної служби України з питань безпечності харчових продуктів та захисту споживачів</w:t>
            </w:r>
            <w:r w:rsidRPr="0038308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50239D">
              <w:rPr>
                <w:rFonts w:ascii="Times New Roman" w:eastAsia="Times New Roman" w:hAnsi="Times New Roman" w:cs="Times New Roman"/>
                <w:sz w:val="24"/>
                <w:szCs w:val="24"/>
                <w:highlight w:val="white"/>
              </w:rPr>
              <w:lastRenderedPageBreak/>
              <w:t xml:space="preserve">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w:t>
            </w:r>
            <w:r w:rsidRPr="0000092F">
              <w:rPr>
                <w:rFonts w:ascii="Times New Roman" w:eastAsia="Times New Roman" w:hAnsi="Times New Roman" w:cs="Times New Roman"/>
                <w:color w:val="000000"/>
                <w:sz w:val="24"/>
                <w:szCs w:val="24"/>
              </w:rPr>
              <w:lastRenderedPageBreak/>
              <w:t>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 xml:space="preserve">пропозицію(у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D25C22">
              <w:rPr>
                <w:rFonts w:ascii="Times New Roman" w:eastAsia="Times New Roman" w:hAnsi="Times New Roman" w:cs="Times New Roman"/>
                <w:sz w:val="24"/>
                <w:szCs w:val="24"/>
              </w:rPr>
              <w:t>90</w:t>
            </w:r>
            <w:r w:rsidR="00D25C22" w:rsidRPr="00E251E8">
              <w:rPr>
                <w:rFonts w:ascii="Times New Roman" w:eastAsia="Times New Roman" w:hAnsi="Times New Roman" w:cs="Times New Roman"/>
                <w:sz w:val="24"/>
                <w:szCs w:val="24"/>
              </w:rPr>
              <w:t xml:space="preserve"> днів</w:t>
            </w:r>
            <w:bookmarkStart w:id="8" w:name="_GoBack"/>
            <w:bookmarkEnd w:id="8"/>
            <w:r w:rsidRPr="00E251E8">
              <w:rPr>
                <w:rFonts w:ascii="Times New Roman" w:eastAsia="Times New Roman" w:hAnsi="Times New Roman" w:cs="Times New Roman"/>
                <w:sz w:val="24"/>
                <w:szCs w:val="24"/>
              </w:rPr>
              <w:t xml:space="preserve"> із дати кінцевого строку подання тендерних пропозицій.</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00466B26">
              <w:rPr>
                <w:rFonts w:ascii="Times New Roman" w:eastAsia="Times New Roman" w:hAnsi="Times New Roman" w:cs="Times New Roman"/>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466B26">
              <w:rPr>
                <w:rFonts w:ascii="Times New Roman" w:eastAsia="Times New Roman" w:hAnsi="Times New Roman" w:cs="Times New Roman"/>
                <w:b/>
                <w:i/>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w:t>
            </w:r>
            <w:r w:rsidRPr="007F099F">
              <w:rPr>
                <w:rFonts w:ascii="Times New Roman" w:eastAsia="Times New Roman" w:hAnsi="Times New Roman" w:cs="Times New Roman"/>
                <w:sz w:val="24"/>
                <w:szCs w:val="24"/>
              </w:rPr>
              <w:lastRenderedPageBreak/>
              <w:t xml:space="preserve">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7B1B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конкурентних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w:t>
            </w:r>
            <w:r>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w:t>
            </w:r>
            <w:r w:rsidRPr="00DD3B5E">
              <w:rPr>
                <w:rFonts w:ascii="Times New Roman" w:eastAsia="Times New Roman" w:hAnsi="Times New Roman" w:cs="Times New Roman"/>
                <w:sz w:val="24"/>
                <w:szCs w:val="24"/>
              </w:rPr>
              <w:lastRenderedPageBreak/>
              <w:t>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00466B26">
              <w:rPr>
                <w:rFonts w:ascii="Times New Roman" w:eastAsia="Times New Roman" w:hAnsi="Times New Roman" w:cs="Times New Roman"/>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Default="005553A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9478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D7C19">
              <w:rPr>
                <w:rFonts w:ascii="Times New Roman" w:eastAsia="Times New Roman" w:hAnsi="Times New Roman" w:cs="Times New Roman"/>
                <w:b/>
                <w:color w:val="FF0000"/>
                <w:sz w:val="24"/>
                <w:szCs w:val="24"/>
              </w:rPr>
              <w:t>14 грудня</w:t>
            </w:r>
            <w:r w:rsidR="009478D9">
              <w:rPr>
                <w:rFonts w:ascii="Times New Roman" w:eastAsia="Times New Roman" w:hAnsi="Times New Roman" w:cs="Times New Roman"/>
                <w:b/>
                <w:color w:val="FF0000"/>
                <w:sz w:val="24"/>
                <w:szCs w:val="24"/>
              </w:rPr>
              <w:t xml:space="preserve"> 2022 року 9.00 </w:t>
            </w:r>
            <w:r>
              <w:rPr>
                <w:rFonts w:ascii="Times New Roman" w:eastAsia="Times New Roman" w:hAnsi="Times New Roman" w:cs="Times New Roman"/>
                <w:i/>
                <w:sz w:val="24"/>
                <w:szCs w:val="24"/>
              </w:rPr>
              <w:t>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07E3D" w:rsidRDefault="00A07E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відбувається відповідно </w:t>
            </w:r>
            <w:r>
              <w:rPr>
                <w:rFonts w:ascii="Times New Roman" w:eastAsia="Times New Roman" w:hAnsi="Times New Roman" w:cs="Times New Roman"/>
                <w:sz w:val="24"/>
                <w:szCs w:val="24"/>
              </w:rPr>
              <w:lastRenderedPageBreak/>
              <w:t>до статті 28 Закону (положення абзацу третього частини першої статті 28 Закону не застосовується).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C81717">
            <w:pPr>
              <w:widowControl w:val="0"/>
              <w:jc w:val="both"/>
              <w:rPr>
                <w:rFonts w:ascii="Times New Roman" w:eastAsia="Times New Roman" w:hAnsi="Times New Roman" w:cs="Times New Roman"/>
                <w:strike/>
                <w:sz w:val="24"/>
                <w:szCs w:val="24"/>
              </w:rPr>
            </w:pPr>
          </w:p>
        </w:tc>
      </w:tr>
      <w:tr w:rsidR="00C81717">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0765B1"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0765B1" w:rsidRDefault="005553A9">
            <w:pPr>
              <w:widowControl w:val="0"/>
              <w:jc w:val="both"/>
              <w:rPr>
                <w:rFonts w:ascii="Times New Roman" w:eastAsia="Times New Roman" w:hAnsi="Times New Roman" w:cs="Times New Roman"/>
                <w:i/>
                <w:sz w:val="24"/>
                <w:szCs w:val="24"/>
              </w:rPr>
            </w:pPr>
            <w:r w:rsidRPr="000765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765B1">
              <w:rPr>
                <w:rFonts w:ascii="Times New Roman" w:eastAsia="Times New Roman" w:hAnsi="Times New Roman" w:cs="Times New Roman"/>
                <w:i/>
                <w:sz w:val="24"/>
                <w:szCs w:val="24"/>
              </w:rPr>
              <w:t>(у разі якщо подано дві і більше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8A6B0A" w:rsidRDefault="005553A9">
            <w:pPr>
              <w:widowControl w:val="0"/>
              <w:jc w:val="both"/>
              <w:rPr>
                <w:rFonts w:ascii="Times New Roman" w:eastAsia="Times New Roman" w:hAnsi="Times New Roman" w:cs="Times New Roman"/>
                <w:sz w:val="24"/>
                <w:szCs w:val="24"/>
                <w:highlight w:val="green"/>
              </w:rPr>
            </w:pPr>
            <w:r w:rsidRPr="008A6B0A">
              <w:rPr>
                <w:rFonts w:ascii="Times New Roman" w:eastAsia="Times New Roman" w:hAnsi="Times New Roman" w:cs="Times New Roman"/>
                <w:sz w:val="24"/>
                <w:szCs w:val="24"/>
                <w:highlight w:val="green"/>
                <w:u w:val="single"/>
              </w:rPr>
              <w:t>Ціна тендерної пропозиції не може перевищувати очікувану вартість предмета закупівлі</w:t>
            </w:r>
            <w:r w:rsidRPr="008A6B0A">
              <w:rPr>
                <w:rFonts w:ascii="Times New Roman" w:eastAsia="Times New Roman" w:hAnsi="Times New Roman" w:cs="Times New Roman"/>
                <w:sz w:val="24"/>
                <w:szCs w:val="24"/>
                <w:highlight w:val="green"/>
              </w:rPr>
              <w:t>, зазначену в оголошенні про проведення відкритих торгів, з урахуванням абзацу другого пункту 28 цих особливостей.</w:t>
            </w:r>
          </w:p>
          <w:p w:rsidR="00C81717" w:rsidRPr="008A6B0A" w:rsidRDefault="005553A9">
            <w:pPr>
              <w:widowControl w:val="0"/>
              <w:jc w:val="both"/>
              <w:rPr>
                <w:rFonts w:ascii="Times New Roman" w:eastAsia="Times New Roman" w:hAnsi="Times New Roman" w:cs="Times New Roman"/>
                <w:b/>
                <w:color w:val="4A86E8"/>
                <w:sz w:val="24"/>
                <w:szCs w:val="24"/>
              </w:rPr>
            </w:pPr>
            <w:r w:rsidRPr="008A6B0A">
              <w:rPr>
                <w:rFonts w:ascii="Times New Roman" w:eastAsia="Times New Roman" w:hAnsi="Times New Roman" w:cs="Times New Roman"/>
                <w:sz w:val="24"/>
                <w:szCs w:val="24"/>
                <w:highlight w:val="green"/>
              </w:rPr>
              <w:t xml:space="preserve">До розгляду </w:t>
            </w:r>
            <w:r w:rsidRPr="008A6B0A">
              <w:rPr>
                <w:rFonts w:ascii="Times New Roman" w:eastAsia="Times New Roman" w:hAnsi="Times New Roman" w:cs="Times New Roman"/>
                <w:sz w:val="24"/>
                <w:szCs w:val="24"/>
                <w:highlight w:val="green"/>
                <w:u w:val="single"/>
              </w:rPr>
              <w:t>не приймається</w:t>
            </w:r>
            <w:r w:rsidRPr="008A6B0A">
              <w:rPr>
                <w:rFonts w:ascii="Times New Roman" w:eastAsia="Times New Roman" w:hAnsi="Times New Roman" w:cs="Times New Roman"/>
                <w:sz w:val="24"/>
                <w:szCs w:val="24"/>
                <w:highlight w:val="gree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31700D" w:rsidRDefault="005553A9">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lastRenderedPageBreak/>
              <w:t xml:space="preserve">Оцінка здійснюється щодо предмета закупівлі </w:t>
            </w:r>
            <w:proofErr w:type="spellStart"/>
            <w:r w:rsidRPr="0031700D">
              <w:rPr>
                <w:rFonts w:ascii="Times New Roman" w:eastAsia="Times New Roman" w:hAnsi="Times New Roman" w:cs="Times New Roman"/>
                <w:sz w:val="24"/>
                <w:szCs w:val="24"/>
              </w:rPr>
              <w:t>вцілому</w:t>
            </w:r>
            <w:proofErr w:type="spellEnd"/>
            <w:r w:rsidRPr="0031700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6A5EA5">
              <w:rPr>
                <w:rFonts w:ascii="Times New Roman" w:eastAsia="Times New Roman" w:hAnsi="Times New Roman" w:cs="Times New Roman"/>
                <w:color w:val="FF0000"/>
                <w:sz w:val="24"/>
                <w:szCs w:val="24"/>
                <w:highlight w:val="yellow"/>
              </w:rPr>
              <w:t xml:space="preserve"> </w:t>
            </w:r>
            <w:r w:rsidR="006D7C19">
              <w:rPr>
                <w:rFonts w:ascii="Times New Roman" w:eastAsia="Times New Roman" w:hAnsi="Times New Roman" w:cs="Times New Roman"/>
                <w:color w:val="FF0000"/>
                <w:sz w:val="24"/>
                <w:szCs w:val="24"/>
                <w:highlight w:val="yellow"/>
              </w:rPr>
              <w:t>1,0</w:t>
            </w:r>
            <w:r>
              <w:rPr>
                <w:rFonts w:ascii="Times New Roman" w:eastAsia="Times New Roman" w:hAnsi="Times New Roman" w:cs="Times New Roman"/>
                <w:color w:val="FF0000"/>
                <w:sz w:val="24"/>
                <w:szCs w:val="24"/>
                <w:highlight w:val="yellow"/>
              </w:rPr>
              <w:t>%</w:t>
            </w:r>
            <w:r w:rsidR="0070245A" w:rsidRPr="0070245A">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0245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0245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закупівель протягом одного дня з дня прийняття відповідного рішення.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Default="005553A9">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1B6F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 xml:space="preserve">повинен </w:t>
            </w:r>
            <w:r w:rsidRPr="001B6F04">
              <w:rPr>
                <w:rFonts w:ascii="Times New Roman" w:eastAsia="Times New Roman" w:hAnsi="Times New Roman" w:cs="Times New Roman"/>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FB2E30" w:rsidRDefault="005553A9">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Default="005553A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674FD4" w:rsidRDefault="005553A9">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sidRPr="00760AD4">
              <w:rPr>
                <w:rFonts w:ascii="Times New Roman" w:eastAsia="Times New Roman" w:hAnsi="Times New Roman" w:cs="Times New Roman"/>
                <w:sz w:val="24"/>
                <w:szCs w:val="24"/>
                <w:highlight w:val="white"/>
              </w:rPr>
              <w:lastRenderedPageBreak/>
              <w:t>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81717" w:rsidRPr="00D82C0C"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w:t>
            </w:r>
            <w:r w:rsidRPr="00D82C0C">
              <w:rPr>
                <w:rFonts w:ascii="Times New Roman" w:eastAsia="Times New Roman" w:hAnsi="Times New Roman" w:cs="Times New Roman"/>
                <w:sz w:val="24"/>
                <w:szCs w:val="24"/>
                <w:highlight w:val="green"/>
              </w:rPr>
              <w:t xml:space="preserve">є такою, ціна якої перевищує очікувану вартість предмета закупівлі, визначену замовником в оголошенні </w:t>
            </w:r>
            <w:r w:rsidR="00C37A43">
              <w:rPr>
                <w:rFonts w:ascii="Times New Roman" w:eastAsia="Times New Roman" w:hAnsi="Times New Roman" w:cs="Times New Roman"/>
                <w:sz w:val="24"/>
                <w:szCs w:val="24"/>
                <w:highlight w:val="green"/>
              </w:rPr>
              <w:t>про проведення відкритих торгів</w:t>
            </w:r>
            <w:r w:rsidRPr="00D82C0C">
              <w:rPr>
                <w:rFonts w:ascii="Times New Roman" w:eastAsia="Times New Roman" w:hAnsi="Times New Roman" w:cs="Times New Roman"/>
                <w:sz w:val="24"/>
                <w:szCs w:val="24"/>
                <w:highlight w:val="green"/>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 xml:space="preserve">Замовник може відхилити тендерну пропозицію із </w:t>
            </w:r>
            <w:r w:rsidRPr="00225003">
              <w:rPr>
                <w:rFonts w:ascii="Times New Roman" w:eastAsia="Times New Roman" w:hAnsi="Times New Roman" w:cs="Times New Roman"/>
                <w:sz w:val="24"/>
                <w:szCs w:val="24"/>
                <w:highlight w:val="white"/>
              </w:rPr>
              <w:lastRenderedPageBreak/>
              <w:t>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оговору</w:t>
            </w:r>
            <w:proofErr w:type="spellEnd"/>
            <w:r w:rsidRPr="00382B27">
              <w:rPr>
                <w:rFonts w:ascii="Times New Roman" w:eastAsia="Times New Roman" w:hAnsi="Times New Roman" w:cs="Times New Roman"/>
                <w:color w:val="000000"/>
                <w:sz w:val="24"/>
                <w:szCs w:val="24"/>
              </w:rPr>
              <w:t xml:space="preserve">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5553A9" w:rsidRPr="00382B27">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w:t>
            </w:r>
            <w:proofErr w:type="spellStart"/>
            <w:r w:rsidR="005553A9" w:rsidRPr="00382B27">
              <w:rPr>
                <w:rFonts w:ascii="Times New Roman" w:eastAsia="Times New Roman" w:hAnsi="Times New Roman" w:cs="Times New Roman"/>
                <w:color w:val="000000"/>
                <w:sz w:val="24"/>
                <w:szCs w:val="24"/>
              </w:rPr>
              <w:t>підставі</w:t>
            </w:r>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F6180A"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2112FE">
        <w:rPr>
          <w:rFonts w:ascii="Times New Roman" w:hAnsi="Times New Roman" w:cs="Times New Roman"/>
          <w:b/>
          <w:bCs/>
          <w:sz w:val="24"/>
          <w:szCs w:val="24"/>
          <w:highlight w:val="yellow"/>
        </w:rPr>
        <w:t xml:space="preserve">на </w:t>
      </w:r>
      <w:r w:rsidR="006D7C19">
        <w:rPr>
          <w:rFonts w:ascii="Times New Roman" w:hAnsi="Times New Roman" w:cs="Times New Roman"/>
          <w:b/>
          <w:bCs/>
          <w:sz w:val="24"/>
          <w:szCs w:val="24"/>
          <w:highlight w:val="yellow"/>
        </w:rPr>
        <w:t>потребу 2023</w:t>
      </w:r>
      <w:r w:rsidRPr="002112FE">
        <w:rPr>
          <w:rFonts w:ascii="Times New Roman" w:hAnsi="Times New Roman" w:cs="Times New Roman"/>
          <w:b/>
          <w:bCs/>
          <w:sz w:val="24"/>
          <w:szCs w:val="24"/>
          <w:highlight w:val="yellow"/>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0B576D" w:rsidTr="00B06983">
        <w:trPr>
          <w:jc w:val="center"/>
        </w:trPr>
        <w:tc>
          <w:tcPr>
            <w:tcW w:w="413" w:type="dxa"/>
          </w:tcPr>
          <w:p w:rsidR="00A9398A" w:rsidRPr="000B576D" w:rsidRDefault="00A9398A" w:rsidP="00B06983">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p w:rsidR="00A9398A" w:rsidRPr="000B576D" w:rsidRDefault="00A9398A" w:rsidP="00B06983">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p w:rsidR="00A9398A" w:rsidRPr="000B576D" w:rsidRDefault="00A9398A" w:rsidP="00B06983">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p w:rsidR="00A9398A" w:rsidRPr="000B576D" w:rsidRDefault="00A9398A" w:rsidP="00B06983">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B06983">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B06983">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B06983">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tc>
      </w:tr>
      <w:tr w:rsidR="00A9398A" w:rsidRPr="000B576D" w:rsidTr="00B06983">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B06983">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B06983">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tc>
      </w:tr>
      <w:tr w:rsidR="00A9398A" w:rsidRPr="000B576D" w:rsidTr="00B06983">
        <w:trPr>
          <w:trHeight w:val="165"/>
          <w:jc w:val="center"/>
        </w:trPr>
        <w:tc>
          <w:tcPr>
            <w:tcW w:w="8588" w:type="dxa"/>
            <w:gridSpan w:val="7"/>
          </w:tcPr>
          <w:p w:rsidR="00A9398A" w:rsidRPr="000B576D" w:rsidRDefault="00A9398A" w:rsidP="00B06983">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tc>
      </w:tr>
      <w:tr w:rsidR="00A9398A" w:rsidRPr="000B576D" w:rsidTr="00B06983">
        <w:trPr>
          <w:trHeight w:val="165"/>
          <w:jc w:val="center"/>
        </w:trPr>
        <w:tc>
          <w:tcPr>
            <w:tcW w:w="8588" w:type="dxa"/>
            <w:gridSpan w:val="7"/>
          </w:tcPr>
          <w:p w:rsidR="00A9398A" w:rsidRPr="000B576D" w:rsidRDefault="00A9398A" w:rsidP="00B06983">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B06983">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12</w:t>
      </w:r>
      <w:r w:rsidRPr="000B576D">
        <w:rPr>
          <w:rFonts w:ascii="Times New Roman" w:hAnsi="Times New Roman" w:cs="Times New Roman"/>
          <w:sz w:val="24"/>
          <w:szCs w:val="24"/>
        </w:rPr>
        <w:t xml:space="preserve">0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 xml:space="preserve">2. Ціна пропозиції повинна бути чітко визначена та враховувати повну вартість електричної енергії як товару, податок на додану вартість, </w:t>
      </w:r>
      <w:r w:rsidRPr="001208A6">
        <w:rPr>
          <w:rFonts w:ascii="Times New Roman" w:hAnsi="Times New Roman" w:cs="Times New Roman"/>
          <w:i/>
          <w:iCs/>
          <w:sz w:val="24"/>
          <w:szCs w:val="24"/>
          <w:highlight w:val="green"/>
        </w:rPr>
        <w:t>вартість послуг з передачі електричної енергії оператором системи передачі</w:t>
      </w:r>
      <w:r w:rsidR="00664F79">
        <w:rPr>
          <w:rFonts w:ascii="Times New Roman" w:hAnsi="Times New Roman" w:cs="Times New Roman"/>
          <w:i/>
          <w:iCs/>
          <w:sz w:val="24"/>
          <w:szCs w:val="24"/>
          <w:highlight w:val="green"/>
        </w:rPr>
        <w:t>, вартість послуг з розподілу оператору системи розподілу</w:t>
      </w:r>
      <w:r w:rsidRPr="001208A6">
        <w:rPr>
          <w:rFonts w:ascii="Times New Roman" w:hAnsi="Times New Roman" w:cs="Times New Roman"/>
          <w:i/>
          <w:iCs/>
          <w:sz w:val="24"/>
          <w:szCs w:val="24"/>
          <w:highlight w:val="green"/>
        </w:rPr>
        <w:t>.</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3.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6D7C19">
        <w:rPr>
          <w:rFonts w:ascii="Times New Roman" w:hAnsi="Times New Roman" w:cs="Times New Roman"/>
          <w:sz w:val="24"/>
          <w:szCs w:val="24"/>
          <w:highlight w:val="yellow"/>
        </w:rPr>
        <w:t>251</w:t>
      </w:r>
      <w:r w:rsidR="00466B26">
        <w:rPr>
          <w:rFonts w:ascii="Times New Roman" w:hAnsi="Times New Roman" w:cs="Times New Roman"/>
          <w:sz w:val="24"/>
          <w:szCs w:val="24"/>
          <w:highlight w:val="yellow"/>
        </w:rPr>
        <w:t>00</w:t>
      </w:r>
      <w:r w:rsidRPr="002E00F9">
        <w:rPr>
          <w:rFonts w:ascii="Times New Roman" w:hAnsi="Times New Roman" w:cs="Times New Roman"/>
          <w:sz w:val="24"/>
          <w:szCs w:val="24"/>
          <w:highlight w:val="yellow"/>
        </w:rPr>
        <w:t xml:space="preserve"> </w:t>
      </w:r>
      <w:proofErr w:type="spellStart"/>
      <w:r w:rsidRPr="002E00F9">
        <w:rPr>
          <w:rFonts w:ascii="Times New Roman" w:hAnsi="Times New Roman" w:cs="Times New Roman"/>
          <w:sz w:val="24"/>
          <w:szCs w:val="24"/>
          <w:highlight w:val="yellow"/>
        </w:rPr>
        <w:t>кВт</w:t>
      </w:r>
      <w:r w:rsidRPr="002E00F9">
        <w:rPr>
          <w:rFonts w:ascii="Times New Roman" w:hAnsi="Times New Roman" w:cs="Times New Roman"/>
          <w:sz w:val="24"/>
          <w:szCs w:val="24"/>
          <w:highlight w:val="yellow"/>
          <w:lang w:eastAsia="en-US"/>
        </w:rPr>
        <w:t>⸳</w:t>
      </w:r>
      <w:r w:rsidRPr="002E00F9">
        <w:rPr>
          <w:rFonts w:ascii="Times New Roman" w:hAnsi="Times New Roman" w:cs="Times New Roman"/>
          <w:sz w:val="24"/>
          <w:szCs w:val="24"/>
          <w:highlight w:val="yellow"/>
        </w:rPr>
        <w:t>год</w:t>
      </w:r>
      <w:proofErr w:type="spellEnd"/>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2. Термін постачання: </w:t>
      </w:r>
      <w:r w:rsidR="006D7C19">
        <w:rPr>
          <w:rFonts w:ascii="Times New Roman" w:hAnsi="Times New Roman" w:cs="Times New Roman"/>
          <w:sz w:val="24"/>
          <w:szCs w:val="24"/>
          <w:highlight w:val="yellow"/>
        </w:rPr>
        <w:t>по 31.12.2023</w:t>
      </w:r>
      <w:r w:rsidRPr="002E00F9">
        <w:rPr>
          <w:rFonts w:ascii="Times New Roman" w:hAnsi="Times New Roman" w:cs="Times New Roman"/>
          <w:sz w:val="24"/>
          <w:szCs w:val="24"/>
          <w:highlight w:val="yellow"/>
        </w:rPr>
        <w:t xml:space="preserve"> року.</w:t>
      </w:r>
    </w:p>
    <w:p w:rsidR="00F363AF" w:rsidRPr="002E00F9"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3. Місце постачання: </w:t>
      </w:r>
      <w:r w:rsidRPr="002E00F9">
        <w:rPr>
          <w:rFonts w:ascii="Times New Roman" w:hAnsi="Times New Roman" w:cs="Times New Roman"/>
          <w:sz w:val="24"/>
          <w:szCs w:val="24"/>
          <w:highlight w:val="yellow"/>
        </w:rPr>
        <w:t>за адресою замовника</w:t>
      </w:r>
    </w:p>
    <w:p w:rsidR="00F363AF" w:rsidRPr="002E00F9" w:rsidRDefault="00F363AF" w:rsidP="00890D86">
      <w:pPr>
        <w:spacing w:after="0"/>
        <w:ind w:firstLine="567"/>
        <w:jc w:val="both"/>
        <w:rPr>
          <w:rFonts w:ascii="Times New Roman" w:hAnsi="Times New Roman" w:cs="Times New Roman"/>
          <w:sz w:val="24"/>
          <w:szCs w:val="24"/>
          <w:highlight w:val="yellow"/>
        </w:rPr>
      </w:pPr>
      <w:r w:rsidRPr="002E00F9">
        <w:rPr>
          <w:rFonts w:ascii="Times New Roman" w:hAnsi="Times New Roman" w:cs="Times New Roman"/>
          <w:sz w:val="24"/>
          <w:szCs w:val="24"/>
        </w:rPr>
        <w:t>4. Режим роботи</w:t>
      </w:r>
      <w:r w:rsidRPr="002E00F9">
        <w:rPr>
          <w:rFonts w:ascii="Times New Roman" w:hAnsi="Times New Roman" w:cs="Times New Roman"/>
          <w:sz w:val="24"/>
          <w:szCs w:val="24"/>
          <w:highlight w:val="yellow"/>
        </w:rPr>
        <w:t>: цілодобово.</w:t>
      </w:r>
    </w:p>
    <w:p w:rsidR="00F363AF" w:rsidRPr="002E00F9" w:rsidRDefault="00F363AF" w:rsidP="00890D86">
      <w:pPr>
        <w:spacing w:after="0"/>
        <w:ind w:firstLine="567"/>
        <w:jc w:val="both"/>
        <w:rPr>
          <w:rFonts w:ascii="Times New Roman" w:hAnsi="Times New Roman" w:cs="Times New Roman"/>
          <w:sz w:val="24"/>
          <w:szCs w:val="24"/>
          <w:highlight w:val="yellow"/>
        </w:rPr>
      </w:pPr>
      <w:r w:rsidRPr="002E00F9">
        <w:rPr>
          <w:rFonts w:ascii="Times New Roman" w:hAnsi="Times New Roman" w:cs="Times New Roman"/>
          <w:sz w:val="24"/>
          <w:szCs w:val="24"/>
        </w:rPr>
        <w:t xml:space="preserve">5. Клас напруги: </w:t>
      </w:r>
      <w:r w:rsidRPr="002E00F9">
        <w:rPr>
          <w:rFonts w:ascii="Times New Roman" w:hAnsi="Times New Roman" w:cs="Times New Roman"/>
          <w:sz w:val="24"/>
          <w:szCs w:val="24"/>
          <w:highlight w:val="yellow"/>
        </w:rPr>
        <w:t>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 xml:space="preserve">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w:t>
      </w:r>
      <w:r w:rsidR="00F363AF" w:rsidRPr="00E00949">
        <w:rPr>
          <w:rFonts w:ascii="Times New Roman" w:hAnsi="Times New Roman" w:cs="Times New Roman"/>
          <w:sz w:val="24"/>
          <w:szCs w:val="24"/>
        </w:rPr>
        <w:lastRenderedPageBreak/>
        <w:t>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406C87" w:rsidRPr="00046A1B" w:rsidRDefault="00406C87" w:rsidP="00046A1B">
      <w:pPr>
        <w:spacing w:after="0"/>
        <w:jc w:val="both"/>
        <w:rPr>
          <w:rFonts w:ascii="Times New Roman" w:hAnsi="Times New Roman" w:cs="Times New Roman"/>
          <w:b/>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lastRenderedPageBreak/>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w:t>
      </w:r>
      <w:proofErr w:type="spellStart"/>
      <w:r w:rsidR="00046A1B" w:rsidRPr="00046A1B">
        <w:rPr>
          <w:rFonts w:ascii="Times New Roman" w:hAnsi="Times New Roman" w:cs="Times New Roman"/>
          <w:sz w:val="24"/>
          <w:szCs w:val="24"/>
        </w:rPr>
        <w:t>веб-сайті</w:t>
      </w:r>
      <w:proofErr w:type="spellEnd"/>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sz w:val="24"/>
          <w:szCs w:val="24"/>
        </w:rPr>
        <w:t>електропостачальника</w:t>
      </w:r>
      <w:proofErr w:type="spellEnd"/>
      <w:r w:rsidR="00046A1B"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D24E34"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w:t>
      </w:r>
      <w:r w:rsidR="00046A1B" w:rsidRPr="00046A1B">
        <w:rPr>
          <w:rFonts w:ascii="Times New Roman" w:hAnsi="Times New Roman" w:cs="Times New Roman"/>
          <w:color w:val="000000"/>
          <w:sz w:val="24"/>
          <w:szCs w:val="24"/>
        </w:rPr>
        <w:lastRenderedPageBreak/>
        <w:t xml:space="preserve">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406C87" w:rsidRDefault="00406C87"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394"/>
        <w:gridCol w:w="4678"/>
      </w:tblGrid>
      <w:tr w:rsidR="00046A1B" w:rsidRPr="00046A1B" w:rsidTr="00B06983">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B06983">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B06983">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B06983">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046A1B" w:rsidRPr="00046A1B" w:rsidTr="00B06983">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B06983">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B06983">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w:t>
      </w:r>
      <w:r w:rsidR="00046A1B" w:rsidRPr="00046A1B">
        <w:rPr>
          <w:rFonts w:ascii="Times New Roman" w:hAnsi="Times New Roman" w:cs="Times New Roman"/>
          <w:color w:val="000000"/>
          <w:sz w:val="24"/>
          <w:szCs w:val="24"/>
        </w:rPr>
        <w:lastRenderedPageBreak/>
        <w:t>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 xml:space="preserve">укладено </w:t>
      </w:r>
      <w:proofErr w:type="spellStart"/>
      <w:r w:rsidR="00046A1B" w:rsidRPr="00046A1B">
        <w:rPr>
          <w:rFonts w:ascii="Times New Roman" w:hAnsi="Times New Roman" w:cs="Times New Roman"/>
          <w:color w:val="000000"/>
          <w:sz w:val="24"/>
          <w:szCs w:val="24"/>
        </w:rPr>
        <w:t>договориелектропостачальника</w:t>
      </w:r>
      <w:proofErr w:type="spellEnd"/>
      <w:r w:rsidR="00046A1B" w:rsidRPr="00046A1B">
        <w:rPr>
          <w:rFonts w:ascii="Times New Roman" w:hAnsi="Times New Roman" w:cs="Times New Roman"/>
          <w:color w:val="000000"/>
          <w:sz w:val="24"/>
          <w:szCs w:val="24"/>
        </w:rPr>
        <w:t xml:space="preserve">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3"/>
      </w:tblGrid>
      <w:tr w:rsidR="00046A1B" w:rsidRPr="00046A1B" w:rsidTr="00B06983">
        <w:trPr>
          <w:trHeight w:val="1549"/>
        </w:trPr>
        <w:tc>
          <w:tcPr>
            <w:tcW w:w="10773"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прокол-центр/контакт-центр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6F7EEF"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46A1B" w:rsidRPr="00046A1B">
        <w:rPr>
          <w:rFonts w:ascii="Times New Roman" w:hAnsi="Times New Roman" w:cs="Times New Roman"/>
          <w:color w:val="000000"/>
          <w:sz w:val="24"/>
          <w:szCs w:val="24"/>
        </w:rPr>
        <w:t xml:space="preserve">Положення про </w:t>
      </w:r>
      <w:proofErr w:type="spellStart"/>
      <w:r w:rsidR="00046A1B" w:rsidRPr="00046A1B">
        <w:rPr>
          <w:rFonts w:ascii="Times New Roman" w:hAnsi="Times New Roman" w:cs="Times New Roman"/>
          <w:color w:val="000000"/>
          <w:sz w:val="24"/>
          <w:szCs w:val="24"/>
        </w:rPr>
        <w:t>кол-центр</w:t>
      </w:r>
      <w:proofErr w:type="spellEnd"/>
      <w:r w:rsidR="00046A1B"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w:t>
      </w:r>
      <w:proofErr w:type="spellStart"/>
      <w:r w:rsidRPr="00046A1B">
        <w:rPr>
          <w:rFonts w:ascii="Times New Roman" w:hAnsi="Times New Roman" w:cs="Times New Roman"/>
          <w:color w:val="000000"/>
          <w:sz w:val="24"/>
          <w:szCs w:val="24"/>
        </w:rPr>
        <w:t>договориелектропостачальника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406C87" w:rsidRPr="00046A1B" w:rsidRDefault="00406C87" w:rsidP="00751C4E">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751C4E" w:rsidRPr="00751C4E">
        <w:rPr>
          <w:rFonts w:ascii="Times New Roman" w:hAnsi="Times New Roman" w:cs="Times New Roman"/>
          <w:bCs/>
          <w:sz w:val="24"/>
          <w:szCs w:val="24"/>
        </w:rPr>
        <w:t xml:space="preserve">Пунктами 1.2.6 та 4.31 Правил роздрібного ринку електроенергії, затверджених постановою НКРЕКП №312 від 14.03.2018, передбачено можливість внесення Замовником </w:t>
      </w:r>
      <w:r w:rsidR="00751C4E" w:rsidRPr="00751C4E">
        <w:rPr>
          <w:rFonts w:ascii="Times New Roman" w:hAnsi="Times New Roman" w:cs="Times New Roman"/>
          <w:bCs/>
          <w:sz w:val="24"/>
          <w:szCs w:val="24"/>
        </w:rPr>
        <w:lastRenderedPageBreak/>
        <w:t xml:space="preserve">(Споживачем) плати за послуги з передачі та розподілу електричної енергії через Учасника (Постачальника), а також включення сум оплати послуг систем оператора в платіжні документи.З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оператора системи розподілу (АТ «ПОЛТАВАОБЛЕНЕРГО») про те, що учасник не має заборгованості перед оператором системи розподілу за договором </w:t>
      </w:r>
      <w:proofErr w:type="spellStart"/>
      <w:r w:rsidR="00751C4E" w:rsidRPr="00751C4E">
        <w:rPr>
          <w:rFonts w:ascii="Times New Roman" w:hAnsi="Times New Roman" w:cs="Times New Roman"/>
          <w:bCs/>
          <w:sz w:val="24"/>
          <w:szCs w:val="24"/>
        </w:rPr>
        <w:t>електропостачальника</w:t>
      </w:r>
      <w:proofErr w:type="spellEnd"/>
      <w:r w:rsidR="00751C4E" w:rsidRPr="00751C4E">
        <w:rPr>
          <w:rFonts w:ascii="Times New Roman" w:hAnsi="Times New Roman" w:cs="Times New Roman"/>
          <w:bCs/>
          <w:sz w:val="24"/>
          <w:szCs w:val="24"/>
        </w:rPr>
        <w:t xml:space="preserve"> про надання послуг з розподілу електричної енергії, датованого не раніше місяця оголошення даної закупівлі.</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 xml:space="preserve">Аналогічним договором не буде вважатися достроково розірваний (припинений) </w:t>
            </w:r>
            <w:r w:rsidRPr="00046A1B">
              <w:rPr>
                <w:rFonts w:ascii="Times New Roman" w:hAnsi="Times New Roman" w:cs="Times New Roman"/>
                <w:sz w:val="24"/>
                <w:szCs w:val="24"/>
              </w:rPr>
              <w:lastRenderedPageBreak/>
              <w:t>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xml:space="preserve">) відображена фактична кількість поставленої  по ньому(них) електричної енергії. Посилання на відкрите джерело інформації буде дійсним, якщо за даним </w:t>
            </w:r>
            <w:r w:rsidRPr="00046A1B">
              <w:rPr>
                <w:rFonts w:ascii="Times New Roman" w:hAnsi="Times New Roman" w:cs="Times New Roman"/>
                <w:sz w:val="24"/>
                <w:szCs w:val="24"/>
              </w:rPr>
              <w:lastRenderedPageBreak/>
              <w:t>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D2BA4" w:rsidRDefault="00ED2BA4" w:rsidP="008D69A0">
      <w:pPr>
        <w:shd w:val="clear" w:color="auto" w:fill="FFFFFF"/>
        <w:spacing w:after="0"/>
        <w:ind w:left="284" w:firstLine="283"/>
        <w:jc w:val="right"/>
        <w:rPr>
          <w:rFonts w:ascii="Times New Roman" w:hAnsi="Times New Roman" w:cs="Times New Roman"/>
          <w:i/>
          <w:color w:val="000000"/>
          <w:sz w:val="24"/>
          <w:szCs w:val="24"/>
        </w:rPr>
      </w:pPr>
    </w:p>
    <w:p w:rsidR="00ED2BA4" w:rsidRDefault="00ED2BA4"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046A1B" w:rsidRPr="00046A1B" w:rsidTr="00B06983">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B06983">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B06983">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B06983">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Tr="00B06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B069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B0698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B06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B06983">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B06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B06983">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w:t>
            </w:r>
            <w:r w:rsidRPr="00131D16">
              <w:rPr>
                <w:rFonts w:ascii="Times New Roman" w:eastAsia="Times New Roman" w:hAnsi="Times New Roman" w:cs="Times New Roman"/>
                <w:color w:val="000000"/>
                <w:sz w:val="20"/>
                <w:szCs w:val="20"/>
              </w:rPr>
              <w:lastRenderedPageBreak/>
              <w:t>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B0698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B06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tblPr>
      <w:tblGrid>
        <w:gridCol w:w="587"/>
        <w:gridCol w:w="4427"/>
        <w:gridCol w:w="4605"/>
      </w:tblGrid>
      <w:tr w:rsidR="00E00EF7" w:rsidTr="00B069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B069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B0698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B069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B06983">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B0698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B0698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B06983">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B0698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B0698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B0698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B0698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Default="003A4A42"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Pr="003A260E"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466B26" w:rsidRDefault="00466B26" w:rsidP="00466B26">
      <w:pPr>
        <w:contextualSpacing/>
        <w:rPr>
          <w:rFonts w:ascii="Times New Roman" w:hAnsi="Times New Roman" w:cs="Times New Roman"/>
          <w:b/>
          <w:bCs/>
          <w:sz w:val="24"/>
          <w:szCs w:val="24"/>
        </w:rPr>
      </w:pPr>
    </w:p>
    <w:p w:rsidR="00466B26" w:rsidRDefault="00466B26" w:rsidP="00466B26">
      <w:pPr>
        <w:contextualSpacing/>
        <w:rPr>
          <w:rFonts w:ascii="Times New Roman" w:hAnsi="Times New Roman" w:cs="Times New Roman"/>
          <w:b/>
          <w:bCs/>
          <w:sz w:val="24"/>
          <w:szCs w:val="24"/>
        </w:rPr>
      </w:pPr>
    </w:p>
    <w:p w:rsidR="003A4A42" w:rsidRPr="003A260E" w:rsidRDefault="00466B26" w:rsidP="00466B26">
      <w:pPr>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3A4A42"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8F0059">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717"/>
    <w:rsid w:val="0000092F"/>
    <w:rsid w:val="00031210"/>
    <w:rsid w:val="00033E4E"/>
    <w:rsid w:val="00046A1B"/>
    <w:rsid w:val="000765B1"/>
    <w:rsid w:val="00096ECD"/>
    <w:rsid w:val="000A22D8"/>
    <w:rsid w:val="000F0578"/>
    <w:rsid w:val="001057E8"/>
    <w:rsid w:val="0011137C"/>
    <w:rsid w:val="001208A6"/>
    <w:rsid w:val="00131D16"/>
    <w:rsid w:val="00135197"/>
    <w:rsid w:val="001551D9"/>
    <w:rsid w:val="001749D8"/>
    <w:rsid w:val="001758B1"/>
    <w:rsid w:val="00186E57"/>
    <w:rsid w:val="00191883"/>
    <w:rsid w:val="00192982"/>
    <w:rsid w:val="001B6F04"/>
    <w:rsid w:val="001C1415"/>
    <w:rsid w:val="001C3EC3"/>
    <w:rsid w:val="001F025D"/>
    <w:rsid w:val="00225003"/>
    <w:rsid w:val="00240E9A"/>
    <w:rsid w:val="00272B99"/>
    <w:rsid w:val="002918D9"/>
    <w:rsid w:val="002E00F9"/>
    <w:rsid w:val="002F21C9"/>
    <w:rsid w:val="002F2BB3"/>
    <w:rsid w:val="0031700D"/>
    <w:rsid w:val="0033242C"/>
    <w:rsid w:val="003747A4"/>
    <w:rsid w:val="00382B27"/>
    <w:rsid w:val="0038308D"/>
    <w:rsid w:val="00393385"/>
    <w:rsid w:val="003A260E"/>
    <w:rsid w:val="003A4A42"/>
    <w:rsid w:val="003A5B14"/>
    <w:rsid w:val="003E52BB"/>
    <w:rsid w:val="003F0CE5"/>
    <w:rsid w:val="00406C87"/>
    <w:rsid w:val="00417F12"/>
    <w:rsid w:val="00442AC4"/>
    <w:rsid w:val="00466B26"/>
    <w:rsid w:val="004738F5"/>
    <w:rsid w:val="0050239D"/>
    <w:rsid w:val="005240E4"/>
    <w:rsid w:val="00547C66"/>
    <w:rsid w:val="00552A2D"/>
    <w:rsid w:val="005553A9"/>
    <w:rsid w:val="00577349"/>
    <w:rsid w:val="0059209C"/>
    <w:rsid w:val="005A71B4"/>
    <w:rsid w:val="00640655"/>
    <w:rsid w:val="00664F79"/>
    <w:rsid w:val="00674FD4"/>
    <w:rsid w:val="006821E3"/>
    <w:rsid w:val="00686981"/>
    <w:rsid w:val="006A5EA5"/>
    <w:rsid w:val="006B0E60"/>
    <w:rsid w:val="006B5AB1"/>
    <w:rsid w:val="006C52AE"/>
    <w:rsid w:val="006D75E2"/>
    <w:rsid w:val="006D7C19"/>
    <w:rsid w:val="006F7EEF"/>
    <w:rsid w:val="00702392"/>
    <w:rsid w:val="0070245A"/>
    <w:rsid w:val="007463C1"/>
    <w:rsid w:val="00751C4E"/>
    <w:rsid w:val="00760AD4"/>
    <w:rsid w:val="00765424"/>
    <w:rsid w:val="00782CE5"/>
    <w:rsid w:val="00791A72"/>
    <w:rsid w:val="007B1BCB"/>
    <w:rsid w:val="007C0922"/>
    <w:rsid w:val="007F099F"/>
    <w:rsid w:val="0083202D"/>
    <w:rsid w:val="008802EC"/>
    <w:rsid w:val="00890D86"/>
    <w:rsid w:val="0089768D"/>
    <w:rsid w:val="008A6B0A"/>
    <w:rsid w:val="008B166E"/>
    <w:rsid w:val="008B5D69"/>
    <w:rsid w:val="008C2F6E"/>
    <w:rsid w:val="008D1518"/>
    <w:rsid w:val="008D69A0"/>
    <w:rsid w:val="008E0188"/>
    <w:rsid w:val="008E5A7F"/>
    <w:rsid w:val="008F0059"/>
    <w:rsid w:val="009017C7"/>
    <w:rsid w:val="009026AE"/>
    <w:rsid w:val="00902BA7"/>
    <w:rsid w:val="0091428C"/>
    <w:rsid w:val="00916467"/>
    <w:rsid w:val="00923083"/>
    <w:rsid w:val="00925B22"/>
    <w:rsid w:val="00942199"/>
    <w:rsid w:val="009478D9"/>
    <w:rsid w:val="009533C4"/>
    <w:rsid w:val="00974E3D"/>
    <w:rsid w:val="009B2BC6"/>
    <w:rsid w:val="009C08C8"/>
    <w:rsid w:val="009C0DA1"/>
    <w:rsid w:val="00A07AD2"/>
    <w:rsid w:val="00A07E3D"/>
    <w:rsid w:val="00A1451E"/>
    <w:rsid w:val="00A17C20"/>
    <w:rsid w:val="00A213B8"/>
    <w:rsid w:val="00A9398A"/>
    <w:rsid w:val="00AC0E01"/>
    <w:rsid w:val="00AE5EF2"/>
    <w:rsid w:val="00B062D8"/>
    <w:rsid w:val="00B06983"/>
    <w:rsid w:val="00B24568"/>
    <w:rsid w:val="00B3029E"/>
    <w:rsid w:val="00B4116C"/>
    <w:rsid w:val="00B640B4"/>
    <w:rsid w:val="00BA35B7"/>
    <w:rsid w:val="00BC1A62"/>
    <w:rsid w:val="00BC7E48"/>
    <w:rsid w:val="00BE3387"/>
    <w:rsid w:val="00C020C1"/>
    <w:rsid w:val="00C12DF1"/>
    <w:rsid w:val="00C23F95"/>
    <w:rsid w:val="00C37A43"/>
    <w:rsid w:val="00C56ECA"/>
    <w:rsid w:val="00C65BE3"/>
    <w:rsid w:val="00C81717"/>
    <w:rsid w:val="00C950FC"/>
    <w:rsid w:val="00CB1DA6"/>
    <w:rsid w:val="00CD69A2"/>
    <w:rsid w:val="00CF5840"/>
    <w:rsid w:val="00D07B0C"/>
    <w:rsid w:val="00D15393"/>
    <w:rsid w:val="00D20BD6"/>
    <w:rsid w:val="00D21F46"/>
    <w:rsid w:val="00D22678"/>
    <w:rsid w:val="00D24E34"/>
    <w:rsid w:val="00D25C22"/>
    <w:rsid w:val="00D30601"/>
    <w:rsid w:val="00D36C26"/>
    <w:rsid w:val="00D43D2E"/>
    <w:rsid w:val="00D75A9E"/>
    <w:rsid w:val="00D82C0C"/>
    <w:rsid w:val="00D86F39"/>
    <w:rsid w:val="00DB55BE"/>
    <w:rsid w:val="00DC52A8"/>
    <w:rsid w:val="00DD3B5E"/>
    <w:rsid w:val="00E00EF7"/>
    <w:rsid w:val="00E157FB"/>
    <w:rsid w:val="00E251E8"/>
    <w:rsid w:val="00E5733B"/>
    <w:rsid w:val="00E734A3"/>
    <w:rsid w:val="00E76E32"/>
    <w:rsid w:val="00EC32B7"/>
    <w:rsid w:val="00EC48FD"/>
    <w:rsid w:val="00ED2BA4"/>
    <w:rsid w:val="00EF64A2"/>
    <w:rsid w:val="00F363AF"/>
    <w:rsid w:val="00F54681"/>
    <w:rsid w:val="00F6180A"/>
    <w:rsid w:val="00F70223"/>
    <w:rsid w:val="00FA3E1F"/>
    <w:rsid w:val="00FB2E30"/>
    <w:rsid w:val="00FD1401"/>
    <w:rsid w:val="00FF23F1"/>
    <w:rsid w:val="00FF4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8F0059"/>
    <w:pPr>
      <w:keepNext/>
      <w:keepLines/>
      <w:spacing w:before="480" w:after="120"/>
      <w:outlineLvl w:val="0"/>
    </w:pPr>
    <w:rPr>
      <w:b/>
      <w:sz w:val="48"/>
      <w:szCs w:val="48"/>
    </w:rPr>
  </w:style>
  <w:style w:type="paragraph" w:styleId="2">
    <w:name w:val="heading 2"/>
    <w:basedOn w:val="a"/>
    <w:next w:val="a"/>
    <w:rsid w:val="008F0059"/>
    <w:pPr>
      <w:keepNext/>
      <w:keepLines/>
      <w:spacing w:before="360" w:after="80"/>
      <w:outlineLvl w:val="1"/>
    </w:pPr>
    <w:rPr>
      <w:b/>
      <w:sz w:val="36"/>
      <w:szCs w:val="36"/>
    </w:rPr>
  </w:style>
  <w:style w:type="paragraph" w:styleId="3">
    <w:name w:val="heading 3"/>
    <w:basedOn w:val="a"/>
    <w:next w:val="a"/>
    <w:rsid w:val="008F0059"/>
    <w:pPr>
      <w:keepNext/>
      <w:keepLines/>
      <w:spacing w:before="280" w:after="80"/>
      <w:outlineLvl w:val="2"/>
    </w:pPr>
    <w:rPr>
      <w:b/>
      <w:sz w:val="28"/>
      <w:szCs w:val="28"/>
    </w:rPr>
  </w:style>
  <w:style w:type="paragraph" w:styleId="4">
    <w:name w:val="heading 4"/>
    <w:basedOn w:val="a"/>
    <w:next w:val="a"/>
    <w:rsid w:val="008F0059"/>
    <w:pPr>
      <w:keepNext/>
      <w:keepLines/>
      <w:spacing w:before="240" w:after="40"/>
      <w:outlineLvl w:val="3"/>
    </w:pPr>
    <w:rPr>
      <w:b/>
      <w:sz w:val="24"/>
      <w:szCs w:val="24"/>
    </w:rPr>
  </w:style>
  <w:style w:type="paragraph" w:styleId="5">
    <w:name w:val="heading 5"/>
    <w:basedOn w:val="a"/>
    <w:next w:val="a"/>
    <w:rsid w:val="008F0059"/>
    <w:pPr>
      <w:keepNext/>
      <w:keepLines/>
      <w:spacing w:before="220" w:after="40"/>
      <w:outlineLvl w:val="4"/>
    </w:pPr>
    <w:rPr>
      <w:b/>
    </w:rPr>
  </w:style>
  <w:style w:type="paragraph" w:styleId="6">
    <w:name w:val="heading 6"/>
    <w:basedOn w:val="a"/>
    <w:next w:val="a"/>
    <w:rsid w:val="008F00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F0059"/>
    <w:tblPr>
      <w:tblCellMar>
        <w:top w:w="0" w:type="dxa"/>
        <w:left w:w="0" w:type="dxa"/>
        <w:bottom w:w="0" w:type="dxa"/>
        <w:right w:w="0" w:type="dxa"/>
      </w:tblCellMar>
    </w:tblPr>
  </w:style>
  <w:style w:type="paragraph" w:styleId="a3">
    <w:name w:val="Title"/>
    <w:basedOn w:val="a"/>
    <w:next w:val="a"/>
    <w:rsid w:val="008F0059"/>
    <w:pPr>
      <w:keepNext/>
      <w:keepLines/>
      <w:spacing w:before="480" w:after="120"/>
    </w:pPr>
    <w:rPr>
      <w:b/>
      <w:sz w:val="72"/>
      <w:szCs w:val="72"/>
    </w:rPr>
  </w:style>
  <w:style w:type="table" w:customStyle="1" w:styleId="TableNormal0">
    <w:name w:val="Table Normal"/>
    <w:rsid w:val="008F005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F00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8F005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8F0059"/>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14980</Words>
  <Characters>85389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14</cp:revision>
  <cp:lastPrinted>2022-10-25T08:25:00Z</cp:lastPrinted>
  <dcterms:created xsi:type="dcterms:W3CDTF">2022-10-25T13:25:00Z</dcterms:created>
  <dcterms:modified xsi:type="dcterms:W3CDTF">2022-12-06T07:58:00Z</dcterms:modified>
</cp:coreProperties>
</file>