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EB7A" w14:textId="77777777" w:rsidR="00F55AAD" w:rsidRPr="00870C32" w:rsidRDefault="00F55AAD" w:rsidP="00F55AAD">
      <w:pPr>
        <w:spacing w:after="0" w:line="240" w:lineRule="auto"/>
        <w:jc w:val="right"/>
        <w:rPr>
          <w:rFonts w:ascii="Times New Roman" w:hAnsi="Times New Roman" w:cs="Times New Roman"/>
          <w:b/>
          <w:bCs/>
          <w:sz w:val="18"/>
          <w:szCs w:val="18"/>
        </w:rPr>
      </w:pPr>
      <w:r w:rsidRPr="00870C32">
        <w:rPr>
          <w:rFonts w:ascii="Times New Roman" w:hAnsi="Times New Roman" w:cs="Times New Roman"/>
          <w:b/>
          <w:bCs/>
          <w:sz w:val="18"/>
          <w:szCs w:val="18"/>
        </w:rPr>
        <w:t>Додаток 1</w:t>
      </w:r>
    </w:p>
    <w:p w14:paraId="26D39A43" w14:textId="77777777" w:rsidR="00F55AAD" w:rsidRPr="00870C32" w:rsidRDefault="00F55AAD" w:rsidP="00F55AAD">
      <w:pPr>
        <w:spacing w:after="0" w:line="240" w:lineRule="auto"/>
        <w:jc w:val="right"/>
        <w:rPr>
          <w:rFonts w:ascii="Times New Roman" w:hAnsi="Times New Roman" w:cs="Times New Roman"/>
          <w:b/>
          <w:bCs/>
          <w:sz w:val="18"/>
          <w:szCs w:val="18"/>
        </w:rPr>
      </w:pPr>
    </w:p>
    <w:p w14:paraId="3AFD51DD" w14:textId="77777777" w:rsidR="00F55AAD" w:rsidRPr="00870C32" w:rsidRDefault="00F55AAD" w:rsidP="00F55AAD">
      <w:pPr>
        <w:pStyle w:val="21"/>
        <w:spacing w:after="0" w:line="240" w:lineRule="auto"/>
        <w:ind w:left="0" w:firstLine="567"/>
        <w:jc w:val="both"/>
        <w:rPr>
          <w:rFonts w:ascii="Times New Roman" w:hAnsi="Times New Roman"/>
          <w:sz w:val="18"/>
          <w:szCs w:val="18"/>
          <w:lang w:val="uk-UA"/>
        </w:rPr>
      </w:pPr>
    </w:p>
    <w:tbl>
      <w:tblPr>
        <w:tblW w:w="103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6"/>
        <w:gridCol w:w="5238"/>
        <w:gridCol w:w="4391"/>
      </w:tblGrid>
      <w:tr w:rsidR="00EC41E9" w:rsidRPr="00870C32" w14:paraId="575D62AB" w14:textId="77777777" w:rsidTr="008513C2">
        <w:trPr>
          <w:tblHeader/>
        </w:trPr>
        <w:tc>
          <w:tcPr>
            <w:tcW w:w="706" w:type="dxa"/>
            <w:tcBorders>
              <w:top w:val="single" w:sz="4" w:space="0" w:color="auto"/>
              <w:left w:val="single" w:sz="4" w:space="0" w:color="auto"/>
              <w:bottom w:val="single" w:sz="4" w:space="0" w:color="auto"/>
              <w:right w:val="single" w:sz="4" w:space="0" w:color="auto"/>
            </w:tcBorders>
          </w:tcPr>
          <w:p w14:paraId="240E6738" w14:textId="77777777" w:rsidR="00EC41E9" w:rsidRPr="00870C32" w:rsidRDefault="00EC41E9" w:rsidP="008513C2">
            <w:pPr>
              <w:pStyle w:val="aa"/>
              <w:spacing w:line="256" w:lineRule="auto"/>
              <w:jc w:val="center"/>
              <w:rPr>
                <w:rFonts w:cs="Times New Roman"/>
                <w:b/>
                <w:bCs/>
                <w:sz w:val="20"/>
                <w:szCs w:val="20"/>
              </w:rPr>
            </w:pPr>
            <w:r w:rsidRPr="00870C32">
              <w:rPr>
                <w:rFonts w:cs="Times New Roman"/>
                <w:b/>
                <w:bCs/>
                <w:sz w:val="20"/>
                <w:szCs w:val="20"/>
              </w:rPr>
              <w:t>№ з/п</w:t>
            </w:r>
          </w:p>
        </w:tc>
        <w:tc>
          <w:tcPr>
            <w:tcW w:w="5238" w:type="dxa"/>
            <w:tcBorders>
              <w:top w:val="single" w:sz="4" w:space="0" w:color="auto"/>
              <w:left w:val="single" w:sz="4" w:space="0" w:color="auto"/>
              <w:bottom w:val="single" w:sz="4" w:space="0" w:color="auto"/>
              <w:right w:val="single" w:sz="4" w:space="0" w:color="auto"/>
            </w:tcBorders>
          </w:tcPr>
          <w:p w14:paraId="579A8D29" w14:textId="77777777" w:rsidR="00EC41E9" w:rsidRPr="00870C32" w:rsidRDefault="00EC41E9" w:rsidP="008513C2">
            <w:pPr>
              <w:pStyle w:val="aa"/>
              <w:spacing w:line="256" w:lineRule="auto"/>
              <w:jc w:val="center"/>
              <w:rPr>
                <w:rFonts w:cs="Times New Roman"/>
                <w:b/>
                <w:bCs/>
                <w:sz w:val="20"/>
                <w:szCs w:val="20"/>
              </w:rPr>
            </w:pPr>
            <w:r w:rsidRPr="00870C32">
              <w:rPr>
                <w:rFonts w:cs="Times New Roman"/>
                <w:b/>
                <w:bCs/>
                <w:sz w:val="20"/>
                <w:szCs w:val="20"/>
              </w:rPr>
              <w:t>Кваліфікаційні критерії та інші вимоги</w:t>
            </w:r>
          </w:p>
        </w:tc>
        <w:tc>
          <w:tcPr>
            <w:tcW w:w="4391" w:type="dxa"/>
            <w:tcBorders>
              <w:top w:val="single" w:sz="4" w:space="0" w:color="auto"/>
              <w:left w:val="single" w:sz="4" w:space="0" w:color="auto"/>
              <w:bottom w:val="single" w:sz="4" w:space="0" w:color="auto"/>
              <w:right w:val="single" w:sz="4" w:space="0" w:color="auto"/>
            </w:tcBorders>
          </w:tcPr>
          <w:p w14:paraId="26ADEEBE" w14:textId="225EDCC2" w:rsidR="00EC41E9" w:rsidRPr="00870C32" w:rsidRDefault="00EC41E9" w:rsidP="008513C2">
            <w:pPr>
              <w:pStyle w:val="aa"/>
              <w:spacing w:line="256" w:lineRule="auto"/>
              <w:jc w:val="center"/>
              <w:rPr>
                <w:rFonts w:cs="Times New Roman"/>
                <w:b/>
                <w:bCs/>
                <w:strike/>
                <w:sz w:val="20"/>
                <w:szCs w:val="20"/>
              </w:rPr>
            </w:pPr>
            <w:r w:rsidRPr="00870C32">
              <w:rPr>
                <w:rFonts w:cs="Times New Roman"/>
                <w:b/>
                <w:bCs/>
                <w:sz w:val="20"/>
                <w:szCs w:val="20"/>
              </w:rPr>
              <w:t xml:space="preserve">Перелік документів, </w:t>
            </w:r>
          </w:p>
          <w:p w14:paraId="5F26321D" w14:textId="5935954E" w:rsidR="00EF153C" w:rsidRPr="00870C32" w:rsidRDefault="00EF153C" w:rsidP="008513C2">
            <w:pPr>
              <w:pStyle w:val="aa"/>
              <w:spacing w:line="256" w:lineRule="auto"/>
              <w:jc w:val="center"/>
              <w:rPr>
                <w:rFonts w:cs="Times New Roman"/>
                <w:b/>
                <w:sz w:val="20"/>
                <w:szCs w:val="20"/>
              </w:rPr>
            </w:pPr>
            <w:r w:rsidRPr="00870C32">
              <w:rPr>
                <w:rFonts w:cs="Times New Roman"/>
                <w:b/>
                <w:sz w:val="20"/>
                <w:szCs w:val="20"/>
              </w:rPr>
              <w:t>що підтверджують відповідність Учасника кваліфікаційним критеріям</w:t>
            </w:r>
          </w:p>
        </w:tc>
      </w:tr>
      <w:tr w:rsidR="00EC41E9" w:rsidRPr="00870C32" w14:paraId="6C7E0411" w14:textId="77777777" w:rsidTr="008513C2">
        <w:tc>
          <w:tcPr>
            <w:tcW w:w="706" w:type="dxa"/>
            <w:tcBorders>
              <w:top w:val="single" w:sz="4" w:space="0" w:color="auto"/>
              <w:left w:val="single" w:sz="4" w:space="0" w:color="auto"/>
              <w:bottom w:val="single" w:sz="4" w:space="0" w:color="auto"/>
              <w:right w:val="single" w:sz="4" w:space="0" w:color="auto"/>
            </w:tcBorders>
          </w:tcPr>
          <w:p w14:paraId="349F15AF" w14:textId="77777777" w:rsidR="00EC41E9" w:rsidRPr="00870C32" w:rsidRDefault="00EC41E9" w:rsidP="00EC41E9">
            <w:pPr>
              <w:pStyle w:val="aa"/>
              <w:numPr>
                <w:ilvl w:val="0"/>
                <w:numId w:val="7"/>
              </w:numPr>
              <w:spacing w:line="256" w:lineRule="auto"/>
              <w:jc w:val="center"/>
              <w:rPr>
                <w:rFonts w:cs="Times New Roman"/>
                <w:sz w:val="20"/>
                <w:szCs w:val="20"/>
              </w:rPr>
            </w:pPr>
            <w:r w:rsidRPr="00870C32">
              <w:rPr>
                <w:rFonts w:cs="Times New Roman"/>
                <w:sz w:val="20"/>
                <w:szCs w:val="20"/>
              </w:rPr>
              <w:t>1</w:t>
            </w:r>
          </w:p>
        </w:tc>
        <w:tc>
          <w:tcPr>
            <w:tcW w:w="5238" w:type="dxa"/>
            <w:tcBorders>
              <w:top w:val="single" w:sz="4" w:space="0" w:color="auto"/>
              <w:left w:val="single" w:sz="4" w:space="0" w:color="auto"/>
              <w:bottom w:val="single" w:sz="4" w:space="0" w:color="auto"/>
              <w:right w:val="single" w:sz="4" w:space="0" w:color="auto"/>
            </w:tcBorders>
          </w:tcPr>
          <w:p w14:paraId="560FB310"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Аудиторська фірма повинна бути включена до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4391" w:type="dxa"/>
            <w:tcBorders>
              <w:top w:val="single" w:sz="4" w:space="0" w:color="auto"/>
              <w:left w:val="single" w:sz="4" w:space="0" w:color="auto"/>
              <w:bottom w:val="single" w:sz="4" w:space="0" w:color="auto"/>
              <w:right w:val="single" w:sz="4" w:space="0" w:color="auto"/>
            </w:tcBorders>
          </w:tcPr>
          <w:p w14:paraId="33555A82"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Витяг з Реєстру аудиторів та суб’єктів аудиторської діяльності, сформований на офіційному сайті Органу суспільного нагляду за аудиторською діяльністю про включення аудиторської фірми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EC41E9" w:rsidRPr="00870C32" w14:paraId="10450540" w14:textId="77777777" w:rsidTr="008513C2">
        <w:tc>
          <w:tcPr>
            <w:tcW w:w="706" w:type="dxa"/>
            <w:tcBorders>
              <w:top w:val="single" w:sz="4" w:space="0" w:color="auto"/>
              <w:left w:val="single" w:sz="4" w:space="0" w:color="auto"/>
              <w:bottom w:val="single" w:sz="4" w:space="0" w:color="auto"/>
              <w:right w:val="single" w:sz="4" w:space="0" w:color="auto"/>
            </w:tcBorders>
          </w:tcPr>
          <w:p w14:paraId="396EEE05" w14:textId="77777777" w:rsidR="00EC41E9" w:rsidRPr="00870C32" w:rsidRDefault="00EC41E9" w:rsidP="00EC41E9">
            <w:pPr>
              <w:pStyle w:val="aa"/>
              <w:numPr>
                <w:ilvl w:val="0"/>
                <w:numId w:val="7"/>
              </w:numPr>
              <w:spacing w:line="256" w:lineRule="auto"/>
              <w:jc w:val="center"/>
              <w:rPr>
                <w:rFonts w:cs="Times New Roman"/>
                <w:sz w:val="20"/>
                <w:szCs w:val="20"/>
              </w:rPr>
            </w:pPr>
          </w:p>
        </w:tc>
        <w:tc>
          <w:tcPr>
            <w:tcW w:w="5238" w:type="dxa"/>
            <w:tcBorders>
              <w:top w:val="single" w:sz="4" w:space="0" w:color="auto"/>
              <w:left w:val="single" w:sz="4" w:space="0" w:color="auto"/>
              <w:bottom w:val="single" w:sz="4" w:space="0" w:color="auto"/>
              <w:right w:val="single" w:sz="4" w:space="0" w:color="auto"/>
            </w:tcBorders>
          </w:tcPr>
          <w:p w14:paraId="3E1B17C0" w14:textId="0E168374" w:rsidR="00EC41E9" w:rsidRPr="00870C32" w:rsidRDefault="00A464EF" w:rsidP="00EC41E9">
            <w:pPr>
              <w:pStyle w:val="msolistparagraph0"/>
              <w:ind w:left="0"/>
              <w:jc w:val="both"/>
              <w:rPr>
                <w:rFonts w:ascii="Times New Roman" w:hAnsi="Times New Roman" w:cs="Times New Roman"/>
                <w:kern w:val="3"/>
                <w:sz w:val="20"/>
                <w:szCs w:val="20"/>
                <w:lang w:eastAsia="en-US"/>
              </w:rPr>
            </w:pPr>
            <w:r w:rsidRPr="00870C32">
              <w:rPr>
                <w:rFonts w:ascii="Times New Roman" w:hAnsi="Times New Roman" w:cs="Times New Roman"/>
                <w:szCs w:val="20"/>
                <w:lang w:val="uk-UA" w:eastAsia="en-US"/>
              </w:rPr>
              <w:t>Наявність в аудиторській фірмі не менше ніж</w:t>
            </w:r>
            <w:r w:rsidRPr="00870C32">
              <w:rPr>
                <w:rFonts w:ascii="Times New Roman" w:hAnsi="Times New Roman" w:cs="Times New Roman"/>
                <w:szCs w:val="20"/>
                <w:lang w:eastAsia="en-US"/>
              </w:rPr>
              <w:t xml:space="preserve">  </w:t>
            </w:r>
            <w:r w:rsidRPr="00870C32">
              <w:rPr>
                <w:rFonts w:ascii="Times New Roman" w:hAnsi="Times New Roman" w:cs="Times New Roman"/>
                <w:szCs w:val="20"/>
                <w:lang w:val="uk-UA" w:eastAsia="en-US"/>
              </w:rPr>
              <w:t xml:space="preserve">      50 працівників за основним місцем роботи.</w:t>
            </w:r>
          </w:p>
        </w:tc>
        <w:tc>
          <w:tcPr>
            <w:tcW w:w="4391" w:type="dxa"/>
            <w:tcBorders>
              <w:top w:val="single" w:sz="4" w:space="0" w:color="auto"/>
              <w:left w:val="single" w:sz="4" w:space="0" w:color="auto"/>
              <w:bottom w:val="single" w:sz="4" w:space="0" w:color="auto"/>
              <w:right w:val="single" w:sz="4" w:space="0" w:color="auto"/>
            </w:tcBorders>
          </w:tcPr>
          <w:p w14:paraId="306AE7A2" w14:textId="2C47C2BD" w:rsidR="00EC41E9" w:rsidRPr="00870C32" w:rsidRDefault="00EC41E9" w:rsidP="00701D43">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Довідка в довільній формі про загальну чисельність працівників Учасника, станом на дату оголошення закупівлі.</w:t>
            </w:r>
          </w:p>
        </w:tc>
      </w:tr>
      <w:tr w:rsidR="00EC41E9" w:rsidRPr="00870C32" w14:paraId="284C75D0" w14:textId="77777777" w:rsidTr="008513C2">
        <w:tc>
          <w:tcPr>
            <w:tcW w:w="706" w:type="dxa"/>
            <w:tcBorders>
              <w:top w:val="single" w:sz="4" w:space="0" w:color="auto"/>
              <w:left w:val="single" w:sz="4" w:space="0" w:color="auto"/>
              <w:bottom w:val="single" w:sz="4" w:space="0" w:color="auto"/>
              <w:right w:val="single" w:sz="4" w:space="0" w:color="auto"/>
            </w:tcBorders>
          </w:tcPr>
          <w:p w14:paraId="42E72218" w14:textId="77777777" w:rsidR="00EC41E9" w:rsidRPr="00870C32" w:rsidRDefault="00EC41E9" w:rsidP="00EC41E9">
            <w:pPr>
              <w:pStyle w:val="aa"/>
              <w:numPr>
                <w:ilvl w:val="0"/>
                <w:numId w:val="7"/>
              </w:numPr>
              <w:spacing w:line="256" w:lineRule="auto"/>
              <w:jc w:val="center"/>
              <w:rPr>
                <w:rFonts w:cs="Times New Roman"/>
                <w:sz w:val="20"/>
                <w:szCs w:val="20"/>
              </w:rPr>
            </w:pPr>
            <w:r w:rsidRPr="00870C32">
              <w:rPr>
                <w:rFonts w:cs="Times New Roman"/>
                <w:sz w:val="20"/>
                <w:szCs w:val="20"/>
              </w:rPr>
              <w:t>2</w:t>
            </w:r>
          </w:p>
        </w:tc>
        <w:tc>
          <w:tcPr>
            <w:tcW w:w="5238" w:type="dxa"/>
            <w:tcBorders>
              <w:top w:val="single" w:sz="4" w:space="0" w:color="auto"/>
              <w:left w:val="single" w:sz="4" w:space="0" w:color="auto"/>
              <w:bottom w:val="single" w:sz="4" w:space="0" w:color="auto"/>
              <w:right w:val="single" w:sz="4" w:space="0" w:color="auto"/>
            </w:tcBorders>
          </w:tcPr>
          <w:p w14:paraId="3813D540" w14:textId="77777777" w:rsidR="00EC41E9" w:rsidRPr="00870C32" w:rsidRDefault="00EC41E9" w:rsidP="00EC41E9">
            <w:pPr>
              <w:numPr>
                <w:ilvl w:val="0"/>
                <w:numId w:val="8"/>
              </w:numPr>
              <w:spacing w:line="256" w:lineRule="auto"/>
              <w:ind w:left="0" w:firstLine="0"/>
              <w:contextualSpacing/>
              <w:jc w:val="both"/>
              <w:rPr>
                <w:rFonts w:ascii="Times New Roman" w:eastAsia="Calibri" w:hAnsi="Times New Roman" w:cs="Times New Roman"/>
              </w:rPr>
            </w:pPr>
            <w:r w:rsidRPr="00870C32">
              <w:rPr>
                <w:rFonts w:ascii="Times New Roman" w:eastAsia="Calibri" w:hAnsi="Times New Roman" w:cs="Times New Roman"/>
              </w:rPr>
              <w:t>не менше 20 сертифікованих аудиторів, що безпосередньо залучені до надання аудиторських послуг та працюють на умовах повної зайнятості;</w:t>
            </w:r>
          </w:p>
          <w:p w14:paraId="6BE8CC9E" w14:textId="09E7CE33" w:rsidR="00EC41E9" w:rsidRPr="00870C32" w:rsidRDefault="006D7770" w:rsidP="006D7770">
            <w:pPr>
              <w:numPr>
                <w:ilvl w:val="0"/>
                <w:numId w:val="8"/>
              </w:numPr>
              <w:spacing w:line="256" w:lineRule="auto"/>
              <w:ind w:left="0" w:firstLine="0"/>
              <w:contextualSpacing/>
              <w:jc w:val="both"/>
              <w:rPr>
                <w:rFonts w:ascii="Times New Roman" w:eastAsia="Calibri" w:hAnsi="Times New Roman" w:cs="Times New Roman"/>
              </w:rPr>
            </w:pPr>
            <w:r w:rsidRPr="00870C32">
              <w:rPr>
                <w:rFonts w:ascii="Times New Roman" w:eastAsia="Calibri" w:hAnsi="Times New Roman" w:cs="Times New Roman"/>
              </w:rPr>
              <w:t xml:space="preserve">не менше 25 працівників, які мають дипломи/сертифікати, що підтверджують високий рівень знань з міжнародних стандартів фінансової звітності, видані Асоціацією присяжних сертифікованих бухгалтерів (ACCA), в тому числі </w:t>
            </w:r>
            <w:proofErr w:type="spellStart"/>
            <w:r w:rsidRPr="00870C32">
              <w:rPr>
                <w:rFonts w:ascii="Times New Roman" w:eastAsia="Calibri" w:hAnsi="Times New Roman" w:cs="Times New Roman"/>
              </w:rPr>
              <w:t>Diploma</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in</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International</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Financial</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reporting</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DipIFR</w:t>
            </w:r>
            <w:proofErr w:type="spellEnd"/>
            <w:r w:rsidRPr="00870C32">
              <w:rPr>
                <w:rFonts w:ascii="Times New Roman" w:eastAsia="Calibri" w:hAnsi="Times New Roman" w:cs="Times New Roman"/>
              </w:rPr>
              <w:t>) та/або Американського інституту сертифікованих громадських бухгалтерів (AICPA) та/або Інституту присяжних бухгалтерів Англії і Уельсу (ICAEW)</w:t>
            </w:r>
            <w:r w:rsidR="002C1069" w:rsidRPr="00870C32">
              <w:rPr>
                <w:rFonts w:ascii="Times New Roman" w:eastAsia="Calibri" w:hAnsi="Times New Roman" w:cs="Times New Roman"/>
              </w:rPr>
              <w:t>.</w:t>
            </w:r>
          </w:p>
          <w:p w14:paraId="5CFEB777" w14:textId="58069258" w:rsidR="00EC41E9" w:rsidRPr="00870C32" w:rsidRDefault="00EC41E9" w:rsidP="00771EA8">
            <w:pPr>
              <w:numPr>
                <w:ilvl w:val="0"/>
                <w:numId w:val="8"/>
              </w:numPr>
              <w:spacing w:line="256" w:lineRule="auto"/>
              <w:ind w:left="0" w:firstLine="360"/>
              <w:contextualSpacing/>
              <w:jc w:val="both"/>
              <w:rPr>
                <w:rFonts w:ascii="Times New Roman" w:eastAsia="Calibri" w:hAnsi="Times New Roman" w:cs="Times New Roman"/>
              </w:rPr>
            </w:pPr>
            <w:r w:rsidRPr="00870C32">
              <w:rPr>
                <w:rFonts w:ascii="Times New Roman" w:eastAsia="Calibri" w:hAnsi="Times New Roman" w:cs="Times New Roman"/>
              </w:rPr>
              <w:t>не менше</w:t>
            </w:r>
            <w:r w:rsidR="00771EA8" w:rsidRPr="00870C32">
              <w:rPr>
                <w:rFonts w:ascii="Times New Roman" w:eastAsia="Calibri" w:hAnsi="Times New Roman" w:cs="Times New Roman"/>
              </w:rPr>
              <w:t xml:space="preserve"> 4</w:t>
            </w:r>
            <w:r w:rsidRPr="00870C32">
              <w:rPr>
                <w:rFonts w:ascii="Times New Roman" w:eastAsia="Calibri" w:hAnsi="Times New Roman" w:cs="Times New Roman"/>
              </w:rPr>
              <w:t xml:space="preserve"> працівників, які мають принаймні один документ у кожного, що підтверджує їх членство в Асоціації Присяжних Дипломованих Бухгалтерів (АССА)</w:t>
            </w:r>
            <w:r w:rsidR="00771EA8" w:rsidRPr="00870C32">
              <w:rPr>
                <w:sz w:val="20"/>
                <w:szCs w:val="20"/>
              </w:rPr>
              <w:t xml:space="preserve"> </w:t>
            </w:r>
            <w:r w:rsidR="00771EA8" w:rsidRPr="00870C32">
              <w:rPr>
                <w:rFonts w:ascii="Times New Roman" w:eastAsia="Calibri" w:hAnsi="Times New Roman" w:cs="Times New Roman"/>
              </w:rPr>
              <w:t>та/або Американського інституту сертифікованих громадських бухгалтерів (AICPA) та/або Інституту присяжних бухгалтерів Англії і Уельсу (ICAEW)</w:t>
            </w:r>
            <w:r w:rsidRPr="00870C32">
              <w:rPr>
                <w:rFonts w:ascii="Times New Roman" w:eastAsia="Calibri" w:hAnsi="Times New Roman" w:cs="Times New Roman"/>
              </w:rPr>
              <w:t xml:space="preserve">. Зараховується кількість персоналу лише за документами, що підтверджують їх членство: </w:t>
            </w:r>
            <w:proofErr w:type="spellStart"/>
            <w:r w:rsidRPr="00870C32">
              <w:rPr>
                <w:rFonts w:ascii="Times New Roman" w:eastAsia="Calibri" w:hAnsi="Times New Roman" w:cs="Times New Roman"/>
              </w:rPr>
              <w:t>Member</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of</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the</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Association</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Certificate</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of</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Membership</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Fellow</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Member</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of</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the</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Association</w:t>
            </w:r>
            <w:proofErr w:type="spellEnd"/>
            <w:r w:rsidRPr="00870C32">
              <w:rPr>
                <w:rFonts w:ascii="Times New Roman" w:eastAsia="Calibri" w:hAnsi="Times New Roman" w:cs="Times New Roman"/>
              </w:rPr>
              <w:t>);</w:t>
            </w:r>
          </w:p>
          <w:p w14:paraId="32D149FD" w14:textId="64255B7F" w:rsidR="00EC41E9" w:rsidRPr="00870C32" w:rsidRDefault="00EC41E9" w:rsidP="00EC41E9">
            <w:pPr>
              <w:numPr>
                <w:ilvl w:val="0"/>
                <w:numId w:val="8"/>
              </w:numPr>
              <w:spacing w:before="100" w:beforeAutospacing="1" w:after="100" w:afterAutospacing="1" w:line="256" w:lineRule="auto"/>
              <w:ind w:left="0" w:firstLine="0"/>
              <w:contextualSpacing/>
              <w:jc w:val="both"/>
              <w:rPr>
                <w:rFonts w:ascii="Times New Roman" w:eastAsia="Calibri" w:hAnsi="Times New Roman" w:cs="Times New Roman"/>
              </w:rPr>
            </w:pPr>
            <w:r w:rsidRPr="00870C32">
              <w:rPr>
                <w:rFonts w:ascii="Times New Roman" w:eastAsia="Calibri" w:hAnsi="Times New Roman" w:cs="Times New Roman"/>
              </w:rPr>
              <w:t>не менше 1 працівника, що працює на умовах повної зайнятості та має сертифікат внутрішнього аудитора (</w:t>
            </w:r>
            <w:proofErr w:type="spellStart"/>
            <w:r w:rsidR="00EF153C" w:rsidRPr="00870C32">
              <w:rPr>
                <w:rFonts w:ascii="Times New Roman" w:hAnsi="Times New Roman" w:cs="Times New Roman"/>
              </w:rPr>
              <w:fldChar w:fldCharType="begin"/>
            </w:r>
            <w:r w:rsidR="00EF153C" w:rsidRPr="00870C32">
              <w:rPr>
                <w:rFonts w:ascii="Times New Roman" w:hAnsi="Times New Roman" w:cs="Times New Roman"/>
              </w:rPr>
              <w:instrText xml:space="preserve"> HYPERLINK "https://na.theiia.org/certification/CIA-Certification/Pages/CIA-Certification.aspx" \t "_blank" \o "Global IIA page" </w:instrText>
            </w:r>
            <w:r w:rsidR="00EF153C" w:rsidRPr="00870C32">
              <w:rPr>
                <w:rFonts w:ascii="Times New Roman" w:hAnsi="Times New Roman" w:cs="Times New Roman"/>
              </w:rPr>
            </w:r>
            <w:r w:rsidR="00EF153C" w:rsidRPr="00870C32">
              <w:rPr>
                <w:rFonts w:ascii="Times New Roman" w:hAnsi="Times New Roman" w:cs="Times New Roman"/>
              </w:rPr>
              <w:fldChar w:fldCharType="separate"/>
            </w:r>
            <w:r w:rsidRPr="00870C32">
              <w:rPr>
                <w:rFonts w:ascii="Times New Roman" w:hAnsi="Times New Roman" w:cs="Times New Roman"/>
              </w:rPr>
              <w:t>Certified</w:t>
            </w:r>
            <w:proofErr w:type="spellEnd"/>
            <w:r w:rsidRPr="00870C32">
              <w:rPr>
                <w:rFonts w:ascii="Times New Roman" w:hAnsi="Times New Roman" w:cs="Times New Roman"/>
              </w:rPr>
              <w:t xml:space="preserve"> </w:t>
            </w:r>
            <w:proofErr w:type="spellStart"/>
            <w:r w:rsidRPr="00870C32">
              <w:rPr>
                <w:rFonts w:ascii="Times New Roman" w:hAnsi="Times New Roman" w:cs="Times New Roman"/>
              </w:rPr>
              <w:t>Internal</w:t>
            </w:r>
            <w:proofErr w:type="spellEnd"/>
            <w:r w:rsidRPr="00870C32">
              <w:rPr>
                <w:rFonts w:ascii="Times New Roman" w:hAnsi="Times New Roman" w:cs="Times New Roman"/>
              </w:rPr>
              <w:t xml:space="preserve"> </w:t>
            </w:r>
            <w:proofErr w:type="spellStart"/>
            <w:r w:rsidRPr="00870C32">
              <w:rPr>
                <w:rFonts w:ascii="Times New Roman" w:hAnsi="Times New Roman" w:cs="Times New Roman"/>
              </w:rPr>
              <w:t>Auditor</w:t>
            </w:r>
            <w:proofErr w:type="spellEnd"/>
            <w:r w:rsidR="00EF153C" w:rsidRPr="00870C32">
              <w:rPr>
                <w:rFonts w:ascii="Times New Roman" w:hAnsi="Times New Roman" w:cs="Times New Roman"/>
              </w:rPr>
              <w:fldChar w:fldCharType="end"/>
            </w:r>
            <w:r w:rsidRPr="00870C32">
              <w:rPr>
                <w:rFonts w:ascii="Times New Roman" w:eastAsia="Calibri" w:hAnsi="Times New Roman" w:cs="Times New Roman"/>
              </w:rPr>
              <w:t>), виданий Інститутом Внутрішніх аудиторів (США).</w:t>
            </w:r>
          </w:p>
          <w:p w14:paraId="08340271" w14:textId="5F360F41" w:rsidR="00D96865" w:rsidRPr="00870C32" w:rsidRDefault="00D96865" w:rsidP="00D96865">
            <w:pPr>
              <w:numPr>
                <w:ilvl w:val="0"/>
                <w:numId w:val="8"/>
              </w:numPr>
              <w:spacing w:before="100" w:beforeAutospacing="1" w:after="100" w:afterAutospacing="1" w:line="256" w:lineRule="auto"/>
              <w:ind w:left="0" w:firstLine="0"/>
              <w:contextualSpacing/>
              <w:jc w:val="both"/>
              <w:rPr>
                <w:rFonts w:ascii="Times New Roman" w:eastAsia="Calibri" w:hAnsi="Times New Roman" w:cs="Times New Roman"/>
              </w:rPr>
            </w:pPr>
            <w:r w:rsidRPr="00870C32">
              <w:rPr>
                <w:rFonts w:ascii="Times New Roman" w:eastAsia="Calibri" w:hAnsi="Times New Roman" w:cs="Times New Roman"/>
              </w:rPr>
              <w:t>не менше 1 працівника, що працює на умовах повної зайнятості, який має будь-який підтверджений рівень знань за програмою CFA (</w:t>
            </w:r>
            <w:proofErr w:type="spellStart"/>
            <w:r w:rsidRPr="00870C32">
              <w:rPr>
                <w:rFonts w:ascii="Times New Roman" w:eastAsia="Calibri" w:hAnsi="Times New Roman" w:cs="Times New Roman"/>
              </w:rPr>
              <w:t>Chartered</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Financial</w:t>
            </w:r>
            <w:proofErr w:type="spellEnd"/>
            <w:r w:rsidRPr="00870C32">
              <w:rPr>
                <w:rFonts w:ascii="Times New Roman" w:eastAsia="Calibri" w:hAnsi="Times New Roman" w:cs="Times New Roman"/>
              </w:rPr>
              <w:t xml:space="preserve"> </w:t>
            </w:r>
            <w:proofErr w:type="spellStart"/>
            <w:r w:rsidRPr="00870C32">
              <w:rPr>
                <w:rFonts w:ascii="Times New Roman" w:eastAsia="Calibri" w:hAnsi="Times New Roman" w:cs="Times New Roman"/>
              </w:rPr>
              <w:t>Analyst</w:t>
            </w:r>
            <w:proofErr w:type="spellEnd"/>
            <w:r w:rsidRPr="00870C32">
              <w:rPr>
                <w:rFonts w:ascii="Times New Roman" w:eastAsia="Calibri" w:hAnsi="Times New Roman" w:cs="Times New Roman"/>
              </w:rPr>
              <w:t>), про що свідчить електронний бейдж</w:t>
            </w:r>
            <w:r w:rsidR="00EF153C" w:rsidRPr="00870C32">
              <w:rPr>
                <w:rFonts w:ascii="Times New Roman" w:eastAsia="Calibri" w:hAnsi="Times New Roman" w:cs="Times New Roman"/>
                <w:lang w:val="en-US"/>
              </w:rPr>
              <w:t>.</w:t>
            </w:r>
          </w:p>
          <w:p w14:paraId="22104F1F" w14:textId="77777777" w:rsidR="00EC41E9" w:rsidRPr="00870C32" w:rsidRDefault="00EC41E9" w:rsidP="00EC41E9">
            <w:pPr>
              <w:numPr>
                <w:ilvl w:val="0"/>
                <w:numId w:val="8"/>
              </w:numPr>
              <w:spacing w:before="100" w:beforeAutospacing="1" w:after="100" w:afterAutospacing="1" w:line="256" w:lineRule="auto"/>
              <w:ind w:left="0" w:firstLine="0"/>
              <w:contextualSpacing/>
              <w:jc w:val="both"/>
              <w:rPr>
                <w:rFonts w:ascii="Times New Roman" w:eastAsia="Calibri" w:hAnsi="Times New Roman" w:cs="Times New Roman"/>
              </w:rPr>
            </w:pPr>
            <w:r w:rsidRPr="00870C32">
              <w:rPr>
                <w:rFonts w:ascii="Times New Roman" w:eastAsia="Calibri" w:hAnsi="Times New Roman" w:cs="Times New Roman"/>
              </w:rPr>
              <w:t>не менше 10 працівників, які працюють на умовах повної зайнятості та мають чинні сертифікати податкових консультантів, виданих Спілкою податкових консультантів України.</w:t>
            </w:r>
          </w:p>
          <w:p w14:paraId="66B8146D" w14:textId="77777777" w:rsidR="00EC41E9" w:rsidRPr="00870C32" w:rsidRDefault="00EC41E9" w:rsidP="00EC41E9">
            <w:pPr>
              <w:pStyle w:val="aa"/>
              <w:numPr>
                <w:ilvl w:val="0"/>
                <w:numId w:val="8"/>
              </w:numPr>
              <w:spacing w:line="256" w:lineRule="auto"/>
              <w:ind w:left="0" w:firstLine="0"/>
              <w:jc w:val="both"/>
              <w:rPr>
                <w:rFonts w:eastAsia="Calibri" w:cs="Times New Roman"/>
                <w:kern w:val="3"/>
                <w:sz w:val="22"/>
                <w:szCs w:val="20"/>
                <w:lang w:eastAsia="en-US"/>
              </w:rPr>
            </w:pPr>
            <w:r w:rsidRPr="00870C32">
              <w:rPr>
                <w:rFonts w:eastAsia="Calibri" w:cs="Times New Roman"/>
                <w:kern w:val="3"/>
                <w:sz w:val="22"/>
                <w:szCs w:val="22"/>
                <w:lang w:eastAsia="en-US"/>
              </w:rPr>
              <w:t>не менше 2 працівників, які мають принаймні один з сертифікатів міжнародних оціночних організацій (RICS, TEGOVA, WAVO-WRV)</w:t>
            </w:r>
          </w:p>
        </w:tc>
        <w:tc>
          <w:tcPr>
            <w:tcW w:w="4391" w:type="dxa"/>
            <w:tcBorders>
              <w:top w:val="single" w:sz="4" w:space="0" w:color="auto"/>
              <w:left w:val="single" w:sz="4" w:space="0" w:color="auto"/>
              <w:bottom w:val="single" w:sz="4" w:space="0" w:color="auto"/>
              <w:right w:val="single" w:sz="4" w:space="0" w:color="auto"/>
            </w:tcBorders>
          </w:tcPr>
          <w:p w14:paraId="3EF49455" w14:textId="77777777" w:rsidR="00EC41E9" w:rsidRPr="00870C32" w:rsidRDefault="00EC41E9" w:rsidP="008513C2">
            <w:pPr>
              <w:spacing w:line="256" w:lineRule="auto"/>
              <w:ind w:right="86"/>
              <w:jc w:val="both"/>
              <w:rPr>
                <w:rFonts w:ascii="Times New Roman" w:eastAsia="Calibri" w:hAnsi="Times New Roman" w:cs="Times New Roman"/>
              </w:rPr>
            </w:pPr>
            <w:r w:rsidRPr="00870C32">
              <w:rPr>
                <w:rFonts w:ascii="Times New Roman" w:eastAsia="Calibri" w:hAnsi="Times New Roman" w:cs="Times New Roman"/>
              </w:rPr>
              <w:t>Довідка в довільній формі про наявність сертифікованих працівників (зазначити П.І.Б., посаду, інформацію про сертифікати, номер в Реєстрі аудиторів та суб'єктів аудиторської діяльності), станом на дату оголошення закупівлі.</w:t>
            </w:r>
          </w:p>
          <w:p w14:paraId="47EB4896"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2"/>
                <w:lang w:eastAsia="en-US"/>
              </w:rPr>
              <w:t>До довідки потрібно додати копії відповідних сертифікатів.</w:t>
            </w:r>
          </w:p>
        </w:tc>
      </w:tr>
      <w:tr w:rsidR="00EC41E9" w:rsidRPr="00870C32" w14:paraId="3942D1FE" w14:textId="77777777" w:rsidTr="008513C2">
        <w:tc>
          <w:tcPr>
            <w:tcW w:w="706" w:type="dxa"/>
            <w:tcBorders>
              <w:top w:val="single" w:sz="4" w:space="0" w:color="auto"/>
              <w:left w:val="single" w:sz="4" w:space="0" w:color="auto"/>
              <w:bottom w:val="single" w:sz="4" w:space="0" w:color="auto"/>
              <w:right w:val="single" w:sz="4" w:space="0" w:color="auto"/>
            </w:tcBorders>
          </w:tcPr>
          <w:p w14:paraId="185085CE" w14:textId="77777777" w:rsidR="00EC41E9" w:rsidRPr="00870C32" w:rsidRDefault="00EC41E9" w:rsidP="00EC41E9">
            <w:pPr>
              <w:pStyle w:val="aa"/>
              <w:numPr>
                <w:ilvl w:val="0"/>
                <w:numId w:val="7"/>
              </w:numPr>
              <w:spacing w:line="256" w:lineRule="auto"/>
              <w:jc w:val="center"/>
              <w:rPr>
                <w:rFonts w:cs="Times New Roman"/>
                <w:sz w:val="20"/>
                <w:szCs w:val="20"/>
              </w:rPr>
            </w:pPr>
            <w:r w:rsidRPr="00870C32">
              <w:rPr>
                <w:rFonts w:cs="Times New Roman"/>
                <w:sz w:val="20"/>
                <w:szCs w:val="20"/>
              </w:rPr>
              <w:lastRenderedPageBreak/>
              <w:t>4</w:t>
            </w:r>
          </w:p>
        </w:tc>
        <w:tc>
          <w:tcPr>
            <w:tcW w:w="5238" w:type="dxa"/>
            <w:tcBorders>
              <w:top w:val="single" w:sz="4" w:space="0" w:color="auto"/>
              <w:left w:val="single" w:sz="4" w:space="0" w:color="auto"/>
              <w:bottom w:val="single" w:sz="4" w:space="0" w:color="auto"/>
              <w:right w:val="single" w:sz="4" w:space="0" w:color="auto"/>
            </w:tcBorders>
          </w:tcPr>
          <w:p w14:paraId="6429F01F" w14:textId="2E105B24" w:rsidR="00EC41E9" w:rsidRPr="00870C32" w:rsidRDefault="00EC41E9" w:rsidP="006E0E53">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 xml:space="preserve">Наявність у аудиторської фірми досвіду роботи з аудиту на території України не менше 25 років. </w:t>
            </w:r>
          </w:p>
        </w:tc>
        <w:tc>
          <w:tcPr>
            <w:tcW w:w="4391" w:type="dxa"/>
            <w:tcBorders>
              <w:top w:val="single" w:sz="4" w:space="0" w:color="auto"/>
              <w:left w:val="single" w:sz="4" w:space="0" w:color="auto"/>
              <w:bottom w:val="single" w:sz="4" w:space="0" w:color="auto"/>
              <w:right w:val="single" w:sz="4" w:space="0" w:color="auto"/>
            </w:tcBorders>
          </w:tcPr>
          <w:p w14:paraId="37EDCF9F"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Довідка в довільній формі про підтвердження відповідного досвіду.</w:t>
            </w:r>
          </w:p>
        </w:tc>
      </w:tr>
      <w:tr w:rsidR="00EC41E9" w:rsidRPr="00870C32" w14:paraId="0C079579" w14:textId="77777777" w:rsidTr="008513C2">
        <w:tc>
          <w:tcPr>
            <w:tcW w:w="706" w:type="dxa"/>
            <w:tcBorders>
              <w:top w:val="single" w:sz="4" w:space="0" w:color="auto"/>
              <w:left w:val="single" w:sz="4" w:space="0" w:color="auto"/>
              <w:bottom w:val="single" w:sz="4" w:space="0" w:color="auto"/>
              <w:right w:val="single" w:sz="4" w:space="0" w:color="auto"/>
            </w:tcBorders>
          </w:tcPr>
          <w:p w14:paraId="537EBED6" w14:textId="77777777" w:rsidR="00EC41E9" w:rsidRPr="00870C32" w:rsidRDefault="00EC41E9" w:rsidP="00EC41E9">
            <w:pPr>
              <w:pStyle w:val="aa"/>
              <w:numPr>
                <w:ilvl w:val="0"/>
                <w:numId w:val="7"/>
              </w:numPr>
              <w:spacing w:line="256" w:lineRule="auto"/>
              <w:jc w:val="center"/>
              <w:rPr>
                <w:rFonts w:cs="Times New Roman"/>
                <w:sz w:val="20"/>
                <w:szCs w:val="20"/>
              </w:rPr>
            </w:pPr>
            <w:r w:rsidRPr="00870C32">
              <w:rPr>
                <w:rFonts w:cs="Times New Roman"/>
                <w:sz w:val="20"/>
                <w:szCs w:val="20"/>
              </w:rPr>
              <w:t>5</w:t>
            </w:r>
          </w:p>
        </w:tc>
        <w:tc>
          <w:tcPr>
            <w:tcW w:w="5238" w:type="dxa"/>
            <w:tcBorders>
              <w:top w:val="single" w:sz="4" w:space="0" w:color="auto"/>
              <w:left w:val="single" w:sz="4" w:space="0" w:color="auto"/>
              <w:bottom w:val="single" w:sz="4" w:space="0" w:color="auto"/>
              <w:right w:val="single" w:sz="4" w:space="0" w:color="auto"/>
            </w:tcBorders>
          </w:tcPr>
          <w:p w14:paraId="406BEF1C"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 xml:space="preserve">Аудиторська фірма має належати до міжнародної мережі аудиторських та бухгалтерських компаній, яка входить до топ - 10 найкращих міжнародних мереж 2022, за версією журналу </w:t>
            </w:r>
            <w:proofErr w:type="spellStart"/>
            <w:r w:rsidRPr="00870C32">
              <w:rPr>
                <w:rFonts w:eastAsia="Calibri" w:cs="Times New Roman"/>
                <w:kern w:val="3"/>
                <w:sz w:val="22"/>
                <w:szCs w:val="20"/>
                <w:lang w:eastAsia="en-US"/>
              </w:rPr>
              <w:t>Accountancy</w:t>
            </w:r>
            <w:proofErr w:type="spellEnd"/>
            <w:r w:rsidRPr="00870C32">
              <w:rPr>
                <w:rFonts w:eastAsia="Calibri" w:cs="Times New Roman"/>
                <w:kern w:val="3"/>
                <w:sz w:val="22"/>
                <w:szCs w:val="20"/>
                <w:lang w:eastAsia="en-US"/>
              </w:rPr>
              <w:t xml:space="preserve"> </w:t>
            </w:r>
            <w:proofErr w:type="spellStart"/>
            <w:r w:rsidRPr="00870C32">
              <w:rPr>
                <w:rFonts w:eastAsia="Calibri" w:cs="Times New Roman"/>
                <w:kern w:val="3"/>
                <w:sz w:val="22"/>
                <w:szCs w:val="20"/>
                <w:lang w:eastAsia="en-US"/>
              </w:rPr>
              <w:t>Age</w:t>
            </w:r>
            <w:proofErr w:type="spellEnd"/>
            <w:r w:rsidRPr="00870C32">
              <w:rPr>
                <w:rFonts w:eastAsia="Calibri" w:cs="Times New Roman"/>
                <w:kern w:val="3"/>
                <w:sz w:val="22"/>
                <w:szCs w:val="20"/>
                <w:lang w:eastAsia="en-US"/>
              </w:rPr>
              <w:t xml:space="preserve"> (https://www.accountancyage.com/)</w:t>
            </w:r>
          </w:p>
        </w:tc>
        <w:tc>
          <w:tcPr>
            <w:tcW w:w="4391" w:type="dxa"/>
            <w:tcBorders>
              <w:top w:val="single" w:sz="4" w:space="0" w:color="auto"/>
              <w:left w:val="single" w:sz="4" w:space="0" w:color="auto"/>
              <w:bottom w:val="single" w:sz="4" w:space="0" w:color="auto"/>
              <w:right w:val="single" w:sz="4" w:space="0" w:color="auto"/>
            </w:tcBorders>
          </w:tcPr>
          <w:p w14:paraId="07C0D712"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Довідка у довільній формі, яка містить інтернет посилання на офіційний інтернет-ресурс, що підтверджує зазначену інформацію.</w:t>
            </w:r>
          </w:p>
        </w:tc>
      </w:tr>
      <w:tr w:rsidR="00EC41E9" w:rsidRPr="00870C32" w14:paraId="0B62EAB4" w14:textId="77777777" w:rsidTr="008513C2">
        <w:tc>
          <w:tcPr>
            <w:tcW w:w="706" w:type="dxa"/>
            <w:tcBorders>
              <w:top w:val="single" w:sz="4" w:space="0" w:color="auto"/>
              <w:left w:val="single" w:sz="4" w:space="0" w:color="auto"/>
              <w:bottom w:val="single" w:sz="4" w:space="0" w:color="auto"/>
              <w:right w:val="single" w:sz="4" w:space="0" w:color="auto"/>
            </w:tcBorders>
          </w:tcPr>
          <w:p w14:paraId="19FE04D2" w14:textId="77777777" w:rsidR="00EC41E9" w:rsidRPr="00870C32" w:rsidRDefault="00EC41E9" w:rsidP="00EC41E9">
            <w:pPr>
              <w:pStyle w:val="aa"/>
              <w:numPr>
                <w:ilvl w:val="0"/>
                <w:numId w:val="7"/>
              </w:numPr>
              <w:spacing w:line="256" w:lineRule="auto"/>
              <w:jc w:val="center"/>
              <w:rPr>
                <w:rFonts w:cs="Times New Roman"/>
                <w:sz w:val="20"/>
                <w:szCs w:val="20"/>
              </w:rPr>
            </w:pPr>
          </w:p>
        </w:tc>
        <w:tc>
          <w:tcPr>
            <w:tcW w:w="5238" w:type="dxa"/>
            <w:tcBorders>
              <w:top w:val="single" w:sz="4" w:space="0" w:color="auto"/>
              <w:left w:val="single" w:sz="4" w:space="0" w:color="auto"/>
              <w:bottom w:val="single" w:sz="4" w:space="0" w:color="auto"/>
              <w:right w:val="single" w:sz="4" w:space="0" w:color="auto"/>
            </w:tcBorders>
          </w:tcPr>
          <w:p w14:paraId="410BB92A"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Учасник відповідає критеріям аудиторських компаній, з якими співпрацює Європейський Банк Реконструкції та Розвитку (ЄБРР).</w:t>
            </w:r>
          </w:p>
        </w:tc>
        <w:tc>
          <w:tcPr>
            <w:tcW w:w="4391" w:type="dxa"/>
            <w:tcBorders>
              <w:top w:val="single" w:sz="4" w:space="0" w:color="auto"/>
              <w:left w:val="single" w:sz="4" w:space="0" w:color="auto"/>
              <w:bottom w:val="single" w:sz="4" w:space="0" w:color="auto"/>
              <w:right w:val="single" w:sz="4" w:space="0" w:color="auto"/>
            </w:tcBorders>
          </w:tcPr>
          <w:p w14:paraId="79CB6808"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 xml:space="preserve">Копія листа ЄБРР, який підтверджує, що Учасник прийнятний у якості аудитора для ЄБРР, виданий не раніше 2024 року </w:t>
            </w:r>
          </w:p>
        </w:tc>
      </w:tr>
      <w:tr w:rsidR="00EC41E9" w:rsidRPr="00870C32" w14:paraId="4E809532" w14:textId="77777777" w:rsidTr="008513C2">
        <w:tc>
          <w:tcPr>
            <w:tcW w:w="706" w:type="dxa"/>
            <w:tcBorders>
              <w:top w:val="single" w:sz="4" w:space="0" w:color="auto"/>
              <w:left w:val="single" w:sz="4" w:space="0" w:color="auto"/>
              <w:bottom w:val="single" w:sz="4" w:space="0" w:color="auto"/>
              <w:right w:val="single" w:sz="4" w:space="0" w:color="auto"/>
            </w:tcBorders>
          </w:tcPr>
          <w:p w14:paraId="6CD2AF2A" w14:textId="77777777" w:rsidR="00EC41E9" w:rsidRPr="00870C32" w:rsidRDefault="00EC41E9" w:rsidP="00EC41E9">
            <w:pPr>
              <w:pStyle w:val="aa"/>
              <w:numPr>
                <w:ilvl w:val="0"/>
                <w:numId w:val="7"/>
              </w:numPr>
              <w:spacing w:line="256" w:lineRule="auto"/>
              <w:jc w:val="center"/>
              <w:rPr>
                <w:rFonts w:cs="Times New Roman"/>
                <w:sz w:val="20"/>
                <w:szCs w:val="20"/>
              </w:rPr>
            </w:pPr>
            <w:r w:rsidRPr="00870C32">
              <w:rPr>
                <w:rFonts w:cs="Times New Roman"/>
                <w:sz w:val="20"/>
                <w:szCs w:val="20"/>
              </w:rPr>
              <w:t>6</w:t>
            </w:r>
          </w:p>
        </w:tc>
        <w:tc>
          <w:tcPr>
            <w:tcW w:w="5238" w:type="dxa"/>
            <w:tcBorders>
              <w:top w:val="single" w:sz="4" w:space="0" w:color="auto"/>
              <w:left w:val="single" w:sz="4" w:space="0" w:color="auto"/>
              <w:bottom w:val="single" w:sz="4" w:space="0" w:color="auto"/>
              <w:right w:val="single" w:sz="4" w:space="0" w:color="auto"/>
            </w:tcBorders>
          </w:tcPr>
          <w:p w14:paraId="6996CBCD" w14:textId="4485459A" w:rsidR="00EC41E9" w:rsidRPr="00870C32" w:rsidRDefault="00EC41E9" w:rsidP="006E0E53">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 xml:space="preserve">Наявність в аудиторської фірми документально підтвердженого досвіду надання послуг з аудиту фінансової звітності комунальних підприємств, складеної за МСФЗ для надання в Європейський Банк Реконструкції та Розвитку (ЄБРР) та/або  Європейський Інвестиційний Банк (ЄІБ) та/або Світовий Банк (не менше 5-ти завдань протягом останніх двох років) </w:t>
            </w:r>
          </w:p>
        </w:tc>
        <w:tc>
          <w:tcPr>
            <w:tcW w:w="4391" w:type="dxa"/>
            <w:tcBorders>
              <w:top w:val="single" w:sz="4" w:space="0" w:color="auto"/>
              <w:left w:val="single" w:sz="4" w:space="0" w:color="auto"/>
              <w:bottom w:val="single" w:sz="4" w:space="0" w:color="auto"/>
              <w:right w:val="single" w:sz="4" w:space="0" w:color="auto"/>
            </w:tcBorders>
          </w:tcPr>
          <w:p w14:paraId="591566E4"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Довідка у довільній формі, що містить назву Замовника, інформацію про номер та дату аналогічного договору.</w:t>
            </w:r>
          </w:p>
          <w:p w14:paraId="2519167E"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Копії відповідних договорів та/або актів виконаних робіт.</w:t>
            </w:r>
          </w:p>
        </w:tc>
      </w:tr>
      <w:tr w:rsidR="00EC41E9" w:rsidRPr="00870C32" w14:paraId="26E1258B" w14:textId="77777777" w:rsidTr="008513C2">
        <w:trPr>
          <w:trHeight w:val="2703"/>
        </w:trPr>
        <w:tc>
          <w:tcPr>
            <w:tcW w:w="706" w:type="dxa"/>
            <w:tcBorders>
              <w:top w:val="single" w:sz="4" w:space="0" w:color="auto"/>
              <w:left w:val="single" w:sz="4" w:space="0" w:color="auto"/>
              <w:bottom w:val="single" w:sz="4" w:space="0" w:color="auto"/>
              <w:right w:val="single" w:sz="4" w:space="0" w:color="auto"/>
            </w:tcBorders>
          </w:tcPr>
          <w:p w14:paraId="35E88C8F" w14:textId="77777777" w:rsidR="00EC41E9" w:rsidRPr="00870C32" w:rsidRDefault="00EC41E9" w:rsidP="00EC41E9">
            <w:pPr>
              <w:pStyle w:val="aa"/>
              <w:numPr>
                <w:ilvl w:val="0"/>
                <w:numId w:val="7"/>
              </w:numPr>
              <w:spacing w:line="256" w:lineRule="auto"/>
              <w:jc w:val="center"/>
              <w:rPr>
                <w:rFonts w:cs="Times New Roman"/>
                <w:sz w:val="20"/>
                <w:szCs w:val="20"/>
              </w:rPr>
            </w:pPr>
            <w:r w:rsidRPr="00870C32">
              <w:rPr>
                <w:rFonts w:cs="Times New Roman"/>
                <w:sz w:val="20"/>
                <w:szCs w:val="20"/>
              </w:rPr>
              <w:t>9</w:t>
            </w:r>
          </w:p>
        </w:tc>
        <w:tc>
          <w:tcPr>
            <w:tcW w:w="5238" w:type="dxa"/>
            <w:tcBorders>
              <w:top w:val="single" w:sz="4" w:space="0" w:color="auto"/>
              <w:left w:val="single" w:sz="4" w:space="0" w:color="auto"/>
              <w:bottom w:val="single" w:sz="4" w:space="0" w:color="auto"/>
              <w:right w:val="single" w:sz="4" w:space="0" w:color="auto"/>
            </w:tcBorders>
          </w:tcPr>
          <w:p w14:paraId="35652B48"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Аудиторська фірма повинна мати чинний договір страхування цивільно-правової відповідальності перед третіми особами (щодо відшкодування можливих збитків у зв'язку із провадженням професійної діяльності на суму не менш як 50 млн. гривень), укладений відповідно до типової форми договору страхування, затвердженої Національною комісією, що здійснює державне регулювання у сфері ринків фінансових послуг, за погодженням з Органом суспільного нагляду за аудиторською діяльністю. При цьому договір страхування повинен діяти протягом усього періоду надання аудиторських послуг.</w:t>
            </w:r>
          </w:p>
        </w:tc>
        <w:tc>
          <w:tcPr>
            <w:tcW w:w="4391" w:type="dxa"/>
            <w:tcBorders>
              <w:top w:val="single" w:sz="4" w:space="0" w:color="auto"/>
              <w:left w:val="single" w:sz="4" w:space="0" w:color="auto"/>
              <w:bottom w:val="single" w:sz="4" w:space="0" w:color="auto"/>
              <w:right w:val="single" w:sz="4" w:space="0" w:color="auto"/>
            </w:tcBorders>
          </w:tcPr>
          <w:p w14:paraId="053A4120" w14:textId="77777777" w:rsidR="00EC41E9" w:rsidRPr="00870C32" w:rsidRDefault="00EC41E9" w:rsidP="008513C2">
            <w:pPr>
              <w:tabs>
                <w:tab w:val="left" w:pos="303"/>
              </w:tabs>
              <w:spacing w:after="116" w:line="256" w:lineRule="auto"/>
              <w:jc w:val="both"/>
              <w:rPr>
                <w:rFonts w:ascii="Times New Roman" w:eastAsia="Calibri" w:hAnsi="Times New Roman" w:cs="Times New Roman"/>
                <w:sz w:val="20"/>
                <w:szCs w:val="20"/>
              </w:rPr>
            </w:pPr>
            <w:r w:rsidRPr="00870C32">
              <w:rPr>
                <w:rFonts w:ascii="Times New Roman" w:eastAsia="Calibri" w:hAnsi="Times New Roman" w:cs="Times New Roman"/>
                <w:sz w:val="20"/>
                <w:szCs w:val="20"/>
              </w:rPr>
              <w:t>Довідка в довільній формі та/або копія договору (в разі закінчення терміну дії договору раніше кінцевого строку надання послуг, надати гарантійний лист про пролонгацію договору).</w:t>
            </w:r>
          </w:p>
        </w:tc>
      </w:tr>
      <w:tr w:rsidR="00EC41E9" w:rsidRPr="00870C32" w14:paraId="33D4B66B" w14:textId="77777777" w:rsidTr="008513C2">
        <w:trPr>
          <w:trHeight w:val="1338"/>
        </w:trPr>
        <w:tc>
          <w:tcPr>
            <w:tcW w:w="706" w:type="dxa"/>
            <w:tcBorders>
              <w:top w:val="single" w:sz="4" w:space="0" w:color="auto"/>
              <w:left w:val="single" w:sz="4" w:space="0" w:color="auto"/>
              <w:bottom w:val="single" w:sz="4" w:space="0" w:color="auto"/>
              <w:right w:val="single" w:sz="4" w:space="0" w:color="auto"/>
            </w:tcBorders>
          </w:tcPr>
          <w:p w14:paraId="266A12D3" w14:textId="77777777" w:rsidR="00EC41E9" w:rsidRPr="00870C32" w:rsidRDefault="00EC41E9" w:rsidP="00EC41E9">
            <w:pPr>
              <w:pStyle w:val="aa"/>
              <w:numPr>
                <w:ilvl w:val="0"/>
                <w:numId w:val="7"/>
              </w:numPr>
              <w:spacing w:line="256" w:lineRule="auto"/>
              <w:jc w:val="center"/>
              <w:rPr>
                <w:rFonts w:cs="Times New Roman"/>
                <w:sz w:val="20"/>
                <w:szCs w:val="20"/>
              </w:rPr>
            </w:pPr>
            <w:r w:rsidRPr="00870C32">
              <w:rPr>
                <w:rFonts w:cs="Times New Roman"/>
                <w:sz w:val="20"/>
                <w:szCs w:val="20"/>
              </w:rPr>
              <w:t>1</w:t>
            </w:r>
          </w:p>
        </w:tc>
        <w:tc>
          <w:tcPr>
            <w:tcW w:w="5238" w:type="dxa"/>
            <w:tcBorders>
              <w:top w:val="single" w:sz="4" w:space="0" w:color="auto"/>
              <w:left w:val="single" w:sz="4" w:space="0" w:color="auto"/>
              <w:bottom w:val="single" w:sz="4" w:space="0" w:color="auto"/>
              <w:right w:val="single" w:sz="4" w:space="0" w:color="auto"/>
            </w:tcBorders>
          </w:tcPr>
          <w:p w14:paraId="4E60ED83" w14:textId="77777777" w:rsidR="00EC41E9" w:rsidRPr="00870C32" w:rsidRDefault="00EC41E9" w:rsidP="008513C2">
            <w:pPr>
              <w:pStyle w:val="aa"/>
              <w:spacing w:line="256" w:lineRule="auto"/>
              <w:jc w:val="both"/>
              <w:rPr>
                <w:rFonts w:eastAsia="Calibri" w:cs="Times New Roman"/>
                <w:kern w:val="3"/>
                <w:sz w:val="22"/>
                <w:szCs w:val="20"/>
                <w:lang w:eastAsia="en-US"/>
              </w:rPr>
            </w:pPr>
            <w:r w:rsidRPr="00870C32">
              <w:rPr>
                <w:rFonts w:eastAsia="Calibri" w:cs="Times New Roman"/>
                <w:kern w:val="3"/>
                <w:sz w:val="22"/>
                <w:szCs w:val="20"/>
                <w:lang w:eastAsia="en-US"/>
              </w:rPr>
              <w:t>Наявність діючого Свідоцтва про відповідність системи контролю якості аудиторських послуг, виданого Аудиторською палатою України або копія наказу про проходження контролю якості, виданого ОСНАД.</w:t>
            </w:r>
          </w:p>
        </w:tc>
        <w:tc>
          <w:tcPr>
            <w:tcW w:w="4391" w:type="dxa"/>
            <w:tcBorders>
              <w:top w:val="single" w:sz="4" w:space="0" w:color="auto"/>
              <w:left w:val="single" w:sz="4" w:space="0" w:color="auto"/>
              <w:bottom w:val="single" w:sz="4" w:space="0" w:color="auto"/>
              <w:right w:val="single" w:sz="4" w:space="0" w:color="auto"/>
            </w:tcBorders>
          </w:tcPr>
          <w:p w14:paraId="778491A7" w14:textId="77777777" w:rsidR="00EC41E9" w:rsidRPr="00870C32" w:rsidRDefault="00EC41E9" w:rsidP="008513C2">
            <w:pPr>
              <w:tabs>
                <w:tab w:val="left" w:pos="303"/>
              </w:tabs>
              <w:spacing w:after="116" w:line="256" w:lineRule="auto"/>
              <w:jc w:val="both"/>
              <w:rPr>
                <w:rFonts w:ascii="Times New Roman" w:eastAsia="Calibri" w:hAnsi="Times New Roman" w:cs="Times New Roman"/>
                <w:sz w:val="20"/>
                <w:szCs w:val="20"/>
              </w:rPr>
            </w:pPr>
            <w:r w:rsidRPr="00870C32">
              <w:rPr>
                <w:rFonts w:ascii="Times New Roman" w:eastAsia="Calibri" w:hAnsi="Times New Roman" w:cs="Times New Roman"/>
                <w:sz w:val="20"/>
                <w:szCs w:val="20"/>
              </w:rPr>
              <w:t>Копія Свідоцтва або наказу ОСНАД.</w:t>
            </w:r>
          </w:p>
        </w:tc>
      </w:tr>
    </w:tbl>
    <w:p w14:paraId="6861F81A" w14:textId="7BA51017" w:rsidR="00EC41E9" w:rsidRPr="00870C32" w:rsidRDefault="00EC41E9" w:rsidP="00EC41E9">
      <w:pPr>
        <w:pStyle w:val="21"/>
        <w:widowControl w:val="0"/>
        <w:spacing w:after="0" w:line="240" w:lineRule="auto"/>
        <w:ind w:left="0"/>
        <w:jc w:val="both"/>
        <w:rPr>
          <w:rFonts w:ascii="Times New Roman" w:hAnsi="Times New Roman"/>
          <w:b/>
          <w:bCs/>
          <w:sz w:val="18"/>
          <w:szCs w:val="18"/>
          <w:lang w:val="uk-UA"/>
        </w:rPr>
      </w:pPr>
      <w:r w:rsidRPr="00870C32">
        <w:rPr>
          <w:rFonts w:ascii="Times New Roman" w:hAnsi="Times New Roman"/>
          <w:b/>
          <w:bCs/>
          <w:sz w:val="18"/>
          <w:szCs w:val="18"/>
          <w:lang w:val="uk-UA"/>
        </w:rPr>
        <w:t xml:space="preserve"> </w:t>
      </w:r>
    </w:p>
    <w:p w14:paraId="205D801C" w14:textId="3B954417" w:rsidR="003D7489" w:rsidRPr="00870C32" w:rsidRDefault="003D7489" w:rsidP="003D7489">
      <w:pPr>
        <w:pStyle w:val="21"/>
        <w:spacing w:after="0" w:line="240" w:lineRule="auto"/>
        <w:ind w:left="0" w:firstLine="567"/>
        <w:jc w:val="both"/>
        <w:rPr>
          <w:rFonts w:ascii="Times New Roman" w:hAnsi="Times New Roman"/>
          <w:b/>
          <w:bCs/>
          <w:sz w:val="18"/>
          <w:szCs w:val="18"/>
          <w:lang w:val="uk-UA"/>
        </w:rPr>
      </w:pPr>
      <w:r w:rsidRPr="00870C32">
        <w:rPr>
          <w:rFonts w:ascii="Times New Roman" w:hAnsi="Times New Roman"/>
          <w:b/>
          <w:bCs/>
          <w:sz w:val="18"/>
          <w:szCs w:val="18"/>
          <w:lang w:val="uk-UA"/>
        </w:rPr>
        <w:t xml:space="preserve">Примітка: </w:t>
      </w:r>
    </w:p>
    <w:p w14:paraId="3E086353" w14:textId="77777777" w:rsidR="003D7489" w:rsidRPr="00870C32" w:rsidRDefault="003D7489" w:rsidP="003D7489">
      <w:pPr>
        <w:pStyle w:val="21"/>
        <w:spacing w:after="0" w:line="240" w:lineRule="auto"/>
        <w:ind w:left="0" w:firstLine="567"/>
        <w:jc w:val="both"/>
        <w:rPr>
          <w:rFonts w:ascii="Times New Roman" w:hAnsi="Times New Roman"/>
          <w:b/>
          <w:bCs/>
          <w:sz w:val="18"/>
          <w:szCs w:val="18"/>
          <w:lang w:val="uk-UA"/>
        </w:rPr>
      </w:pPr>
      <w:r w:rsidRPr="00870C32">
        <w:rPr>
          <w:rFonts w:ascii="Times New Roman" w:hAnsi="Times New Roman"/>
          <w:b/>
          <w:bCs/>
          <w:sz w:val="18"/>
          <w:szCs w:val="18"/>
          <w:lang w:val="uk-UA"/>
        </w:rPr>
        <w:t>Для підтвердження своєї відповідності кваліфікаційним критеріям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2D746FC" w14:textId="77777777" w:rsidR="003D7489" w:rsidRPr="00870C32" w:rsidRDefault="003D7489" w:rsidP="003D7489">
      <w:pPr>
        <w:pStyle w:val="21"/>
        <w:spacing w:after="0" w:line="240" w:lineRule="auto"/>
        <w:ind w:left="0" w:firstLine="567"/>
        <w:jc w:val="both"/>
        <w:rPr>
          <w:rFonts w:ascii="Times New Roman" w:hAnsi="Times New Roman"/>
          <w:sz w:val="20"/>
          <w:szCs w:val="20"/>
          <w:lang w:val="uk-UA"/>
        </w:rPr>
      </w:pPr>
      <w:r w:rsidRPr="00870C32">
        <w:rPr>
          <w:rFonts w:ascii="Times New Roman" w:hAnsi="Times New Roman"/>
          <w:b/>
          <w:bCs/>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3C9C80" w14:textId="1A433BE5" w:rsidR="00483DB2" w:rsidRPr="00870C32" w:rsidRDefault="00483DB2" w:rsidP="003D7489">
      <w:pPr>
        <w:pStyle w:val="21"/>
        <w:spacing w:after="0" w:line="240" w:lineRule="auto"/>
        <w:ind w:left="0" w:firstLine="567"/>
        <w:jc w:val="both"/>
        <w:rPr>
          <w:rFonts w:ascii="Times New Roman" w:hAnsi="Times New Roman"/>
          <w:b/>
          <w:bCs/>
          <w:sz w:val="18"/>
          <w:szCs w:val="18"/>
          <w:lang w:val="uk-UA"/>
        </w:rPr>
      </w:pPr>
    </w:p>
    <w:sectPr w:rsidR="00483DB2" w:rsidRPr="00870C32" w:rsidSect="007C459C">
      <w:pgSz w:w="12240" w:h="15840"/>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876"/>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062C6"/>
    <w:multiLevelType w:val="multilevel"/>
    <w:tmpl w:val="0A8E5E40"/>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5441DF2"/>
    <w:multiLevelType w:val="hybridMultilevel"/>
    <w:tmpl w:val="E9003FF2"/>
    <w:lvl w:ilvl="0" w:tplc="A9E8C7C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19B0867"/>
    <w:multiLevelType w:val="hybridMultilevel"/>
    <w:tmpl w:val="6406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9B1378"/>
    <w:multiLevelType w:val="multilevel"/>
    <w:tmpl w:val="326E28E4"/>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61026"/>
    <w:multiLevelType w:val="hybridMultilevel"/>
    <w:tmpl w:val="3A9A9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63120383">
    <w:abstractNumId w:val="6"/>
  </w:num>
  <w:num w:numId="2" w16cid:durableId="1642492355">
    <w:abstractNumId w:val="0"/>
  </w:num>
  <w:num w:numId="3" w16cid:durableId="1000276080">
    <w:abstractNumId w:val="2"/>
  </w:num>
  <w:num w:numId="4" w16cid:durableId="822696624">
    <w:abstractNumId w:val="1"/>
  </w:num>
  <w:num w:numId="5" w16cid:durableId="205878394">
    <w:abstractNumId w:val="8"/>
  </w:num>
  <w:num w:numId="6" w16cid:durableId="1771732852">
    <w:abstractNumId w:val="5"/>
  </w:num>
  <w:num w:numId="7" w16cid:durableId="648637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0361010">
    <w:abstractNumId w:val="9"/>
  </w:num>
  <w:num w:numId="9" w16cid:durableId="412047291">
    <w:abstractNumId w:val="3"/>
  </w:num>
  <w:num w:numId="10" w16cid:durableId="1103068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3B"/>
    <w:rsid w:val="00014AE2"/>
    <w:rsid w:val="0004138C"/>
    <w:rsid w:val="00071131"/>
    <w:rsid w:val="000818E6"/>
    <w:rsid w:val="00091EE8"/>
    <w:rsid w:val="00101F5B"/>
    <w:rsid w:val="0011224F"/>
    <w:rsid w:val="0014262B"/>
    <w:rsid w:val="00173348"/>
    <w:rsid w:val="00184E04"/>
    <w:rsid w:val="001B2A0F"/>
    <w:rsid w:val="001E1AC5"/>
    <w:rsid w:val="00204890"/>
    <w:rsid w:val="00210AF2"/>
    <w:rsid w:val="0021454D"/>
    <w:rsid w:val="002439C5"/>
    <w:rsid w:val="002478CC"/>
    <w:rsid w:val="002A0466"/>
    <w:rsid w:val="002A7411"/>
    <w:rsid w:val="002B4767"/>
    <w:rsid w:val="002C1069"/>
    <w:rsid w:val="002E261F"/>
    <w:rsid w:val="00320209"/>
    <w:rsid w:val="003431CC"/>
    <w:rsid w:val="003719CB"/>
    <w:rsid w:val="0038670F"/>
    <w:rsid w:val="003A5EFC"/>
    <w:rsid w:val="003D2A0A"/>
    <w:rsid w:val="003D7489"/>
    <w:rsid w:val="00407524"/>
    <w:rsid w:val="00410EA4"/>
    <w:rsid w:val="00483AF4"/>
    <w:rsid w:val="00483DB2"/>
    <w:rsid w:val="004853BC"/>
    <w:rsid w:val="004E3E99"/>
    <w:rsid w:val="004E7302"/>
    <w:rsid w:val="00502FF7"/>
    <w:rsid w:val="005167CE"/>
    <w:rsid w:val="00541803"/>
    <w:rsid w:val="0054388C"/>
    <w:rsid w:val="005B784E"/>
    <w:rsid w:val="00613F7D"/>
    <w:rsid w:val="006608D1"/>
    <w:rsid w:val="006853A0"/>
    <w:rsid w:val="006906E4"/>
    <w:rsid w:val="006A257F"/>
    <w:rsid w:val="006C7404"/>
    <w:rsid w:val="006D223E"/>
    <w:rsid w:val="006D7770"/>
    <w:rsid w:val="006E0E53"/>
    <w:rsid w:val="006E67DC"/>
    <w:rsid w:val="006F0530"/>
    <w:rsid w:val="006F53B3"/>
    <w:rsid w:val="00701D43"/>
    <w:rsid w:val="00710173"/>
    <w:rsid w:val="00732445"/>
    <w:rsid w:val="00771EA8"/>
    <w:rsid w:val="00776393"/>
    <w:rsid w:val="007877D7"/>
    <w:rsid w:val="00797466"/>
    <w:rsid w:val="007C459C"/>
    <w:rsid w:val="007D1B09"/>
    <w:rsid w:val="007D4719"/>
    <w:rsid w:val="007E5656"/>
    <w:rsid w:val="007E713F"/>
    <w:rsid w:val="007F2A2C"/>
    <w:rsid w:val="0080213D"/>
    <w:rsid w:val="008339E9"/>
    <w:rsid w:val="00842519"/>
    <w:rsid w:val="008563E3"/>
    <w:rsid w:val="00870C32"/>
    <w:rsid w:val="008750BC"/>
    <w:rsid w:val="008C656A"/>
    <w:rsid w:val="00922B8F"/>
    <w:rsid w:val="00923CDA"/>
    <w:rsid w:val="00927477"/>
    <w:rsid w:val="00931DC0"/>
    <w:rsid w:val="0093244C"/>
    <w:rsid w:val="00942E43"/>
    <w:rsid w:val="00951A9F"/>
    <w:rsid w:val="009565E4"/>
    <w:rsid w:val="00975971"/>
    <w:rsid w:val="009C1A20"/>
    <w:rsid w:val="00A45558"/>
    <w:rsid w:val="00A464EF"/>
    <w:rsid w:val="00A65191"/>
    <w:rsid w:val="00A85D3B"/>
    <w:rsid w:val="00A94FFC"/>
    <w:rsid w:val="00AD25CA"/>
    <w:rsid w:val="00B00821"/>
    <w:rsid w:val="00B01CED"/>
    <w:rsid w:val="00B052A3"/>
    <w:rsid w:val="00B5325C"/>
    <w:rsid w:val="00B94F61"/>
    <w:rsid w:val="00B96CEC"/>
    <w:rsid w:val="00BA6B94"/>
    <w:rsid w:val="00BF58B0"/>
    <w:rsid w:val="00C11538"/>
    <w:rsid w:val="00C12AC1"/>
    <w:rsid w:val="00C414C2"/>
    <w:rsid w:val="00C466B9"/>
    <w:rsid w:val="00C70738"/>
    <w:rsid w:val="00CA6FCC"/>
    <w:rsid w:val="00CD7C08"/>
    <w:rsid w:val="00CE3D40"/>
    <w:rsid w:val="00CF6343"/>
    <w:rsid w:val="00D0788A"/>
    <w:rsid w:val="00D25802"/>
    <w:rsid w:val="00D67787"/>
    <w:rsid w:val="00D96865"/>
    <w:rsid w:val="00D971B6"/>
    <w:rsid w:val="00DA53AF"/>
    <w:rsid w:val="00DC7213"/>
    <w:rsid w:val="00DE50CB"/>
    <w:rsid w:val="00DE626F"/>
    <w:rsid w:val="00E404ED"/>
    <w:rsid w:val="00EA2A5C"/>
    <w:rsid w:val="00EA57EC"/>
    <w:rsid w:val="00EC41E9"/>
    <w:rsid w:val="00ED62FC"/>
    <w:rsid w:val="00EE5776"/>
    <w:rsid w:val="00EF127B"/>
    <w:rsid w:val="00EF153C"/>
    <w:rsid w:val="00F141C5"/>
    <w:rsid w:val="00F55908"/>
    <w:rsid w:val="00F55AAD"/>
    <w:rsid w:val="00F57F7B"/>
    <w:rsid w:val="00F72061"/>
    <w:rsid w:val="00F91167"/>
    <w:rsid w:val="00FC222D"/>
    <w:rsid w:val="00FD5990"/>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15:chartTrackingRefBased/>
  <w15:docId w15:val="{6564E99B-6706-4D07-A83C-77A2118E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qFormat/>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uiPriority w:val="34"/>
    <w:qFormat/>
    <w:rsid w:val="006F0530"/>
    <w:pPr>
      <w:spacing w:after="200" w:line="276" w:lineRule="auto"/>
      <w:ind w:left="720"/>
      <w:contextualSpacing/>
    </w:pPr>
    <w:rPr>
      <w:rFonts w:eastAsiaTheme="minorEastAsia"/>
      <w:lang w:val="ru-RU" w:eastAsia="ru-RU"/>
    </w:rPr>
  </w:style>
  <w:style w:type="character" w:customStyle="1" w:styleId="a5">
    <w:name w:val="Абзац списку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base">
    <w:name w:val="base"/>
    <w:rsid w:val="009C1A20"/>
  </w:style>
  <w:style w:type="character" w:customStyle="1" w:styleId="b-captiontext">
    <w:name w:val="b-caption__text"/>
    <w:rsid w:val="009C1A20"/>
  </w:style>
  <w:style w:type="paragraph" w:styleId="a6">
    <w:name w:val="Subtitle"/>
    <w:basedOn w:val="a"/>
    <w:next w:val="a"/>
    <w:link w:val="a7"/>
    <w:qFormat/>
    <w:rsid w:val="009C1A20"/>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7">
    <w:name w:val="Підзаголовок Знак"/>
    <w:basedOn w:val="a0"/>
    <w:link w:val="a6"/>
    <w:rsid w:val="009C1A20"/>
    <w:rPr>
      <w:rFonts w:ascii="Calibri Light" w:eastAsia="Times New Roman" w:hAnsi="Calibri Light" w:cs="Times New Roman"/>
      <w:sz w:val="24"/>
      <w:szCs w:val="24"/>
      <w:lang w:val="ru-RU" w:eastAsia="ru-RU"/>
    </w:rPr>
  </w:style>
  <w:style w:type="character" w:styleId="a8">
    <w:name w:val="Emphasis"/>
    <w:qFormat/>
    <w:rsid w:val="009C1A20"/>
    <w:rPr>
      <w:i/>
      <w:iCs/>
    </w:rPr>
  </w:style>
  <w:style w:type="table" w:styleId="a9">
    <w:name w:val="Table Grid"/>
    <w:basedOn w:val="a1"/>
    <w:uiPriority w:val="39"/>
    <w:qFormat/>
    <w:rsid w:val="00F55908"/>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C41E9"/>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a">
    <w:name w:val="Содержимое таблицы"/>
    <w:basedOn w:val="a"/>
    <w:rsid w:val="00EC41E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msolistparagraph0">
    <w:name w:val="msolistparagraph"/>
    <w:basedOn w:val="a"/>
    <w:rsid w:val="00EC41E9"/>
    <w:pPr>
      <w:spacing w:line="256" w:lineRule="auto"/>
      <w:ind w:left="720"/>
      <w:contextualSpacing/>
    </w:pPr>
    <w:rPr>
      <w:rFonts w:ascii="Calibri" w:eastAsia="Calibri" w:hAnsi="Calibri" w:cs="Calibri"/>
      <w:lang w:val="ru-RU" w:eastAsia="ru-RU"/>
    </w:rPr>
  </w:style>
  <w:style w:type="paragraph" w:customStyle="1" w:styleId="Heading">
    <w:name w:val="Heading"/>
    <w:basedOn w:val="Standard"/>
    <w:next w:val="a6"/>
    <w:rsid w:val="00EC41E9"/>
    <w:pPr>
      <w:widowControl/>
      <w:autoSpaceDE/>
      <w:jc w:val="center"/>
    </w:pPr>
    <w:rPr>
      <w:rFonts w:ascii="Times New Roman" w:hAnsi="Times New Roman" w:cs="Times New Roman"/>
      <w:sz w:val="28"/>
      <w:szCs w:val="20"/>
      <w:lang w:val="uk-UA"/>
    </w:rPr>
  </w:style>
  <w:style w:type="paragraph" w:customStyle="1" w:styleId="HeaderandFooter">
    <w:name w:val="Header and Footer"/>
    <w:basedOn w:val="Standard"/>
    <w:rsid w:val="00EC41E9"/>
    <w:pPr>
      <w:suppressLineNumbers/>
      <w:tabs>
        <w:tab w:val="center" w:pos="4819"/>
        <w:tab w:val="right" w:pos="9638"/>
      </w:tabs>
    </w:pPr>
  </w:style>
  <w:style w:type="paragraph" w:styleId="ab">
    <w:name w:val="footer"/>
    <w:basedOn w:val="Standard"/>
    <w:link w:val="ac"/>
    <w:rsid w:val="00EC41E9"/>
    <w:pPr>
      <w:tabs>
        <w:tab w:val="center" w:pos="4677"/>
        <w:tab w:val="right" w:pos="9355"/>
      </w:tabs>
    </w:pPr>
  </w:style>
  <w:style w:type="character" w:customStyle="1" w:styleId="ac">
    <w:name w:val="Нижній колонтитул Знак"/>
    <w:basedOn w:val="a0"/>
    <w:link w:val="ab"/>
    <w:rsid w:val="00EC41E9"/>
    <w:rPr>
      <w:rFonts w:ascii="Times New Roman CYR" w:eastAsia="Times New Roman" w:hAnsi="Times New Roman CYR" w:cs="Times New Roman CYR"/>
      <w:kern w:val="3"/>
      <w:sz w:val="24"/>
      <w:szCs w:val="24"/>
      <w:lang w:val="ru-RU" w:eastAsia="zh-CN"/>
    </w:rPr>
  </w:style>
  <w:style w:type="numbering" w:customStyle="1" w:styleId="WW8Num7">
    <w:name w:val="WW8Num7"/>
    <w:basedOn w:val="a2"/>
    <w:rsid w:val="00EC41E9"/>
    <w:pPr>
      <w:numPr>
        <w:numId w:val="9"/>
      </w:numPr>
    </w:pPr>
  </w:style>
  <w:style w:type="numbering" w:customStyle="1" w:styleId="WW8Num8">
    <w:name w:val="WW8Num8"/>
    <w:basedOn w:val="a2"/>
    <w:rsid w:val="00EC41E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AB95-58C0-4AAA-9DAB-3E0DAC79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3722</Words>
  <Characters>2123</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 Ляшко</cp:lastModifiedBy>
  <cp:revision>3</cp:revision>
  <cp:lastPrinted>2023-01-02T10:26:00Z</cp:lastPrinted>
  <dcterms:created xsi:type="dcterms:W3CDTF">2024-02-27T10:57:00Z</dcterms:created>
  <dcterms:modified xsi:type="dcterms:W3CDTF">2024-02-29T11:57:00Z</dcterms:modified>
</cp:coreProperties>
</file>