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left="5400" w:right="0" w:firstLine="45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bCs/>
          <w:i w:val="false"/>
          <w:iCs w:val="false"/>
          <w:sz w:val="24"/>
          <w:szCs w:val="24"/>
          <w:lang w:val="uk-UA" w:eastAsia="ar-SA"/>
        </w:rPr>
        <w:t>:</w:t>
      </w:r>
    </w:p>
    <w:tbl>
      <w:tblPr>
        <w:tblW w:w="10545" w:type="dxa"/>
        <w:jc w:val="left"/>
        <w:tblInd w:w="0" w:type="dxa"/>
        <w:tblLayout w:type="fixed"/>
        <w:tblCellMar>
          <w:top w:w="55" w:type="dxa"/>
          <w:left w:w="55" w:type="dxa"/>
          <w:bottom w:w="55" w:type="dxa"/>
          <w:right w:w="55" w:type="dxa"/>
        </w:tblCellMar>
      </w:tblPr>
      <w:tblGrid>
        <w:gridCol w:w="515"/>
        <w:gridCol w:w="7195"/>
        <w:gridCol w:w="2835"/>
      </w:tblGrid>
      <w:tr>
        <w:trPr/>
        <w:tc>
          <w:tcPr>
            <w:tcW w:w="515" w:type="dxa"/>
            <w:tcBorders>
              <w:top w:val="single" w:sz="2" w:space="0" w:color="000000"/>
              <w:left w:val="single" w:sz="2" w:space="0" w:color="000000"/>
              <w:bottom w:val="single" w:sz="2" w:space="0" w:color="000000"/>
            </w:tcBorders>
          </w:tcPr>
          <w:p>
            <w:pPr>
              <w:pStyle w:val="Style22"/>
              <w:jc w:val="center"/>
              <w:rPr/>
            </w:pPr>
            <w:r>
              <w:rPr/>
              <w:t xml:space="preserve">№ </w:t>
            </w:r>
            <w:r>
              <w:rPr>
                <w:lang w:val="uk-UA"/>
              </w:rPr>
              <w:t>п/п</w:t>
            </w:r>
          </w:p>
        </w:tc>
        <w:tc>
          <w:tcPr>
            <w:tcW w:w="7195" w:type="dxa"/>
            <w:tcBorders>
              <w:top w:val="single" w:sz="2" w:space="0" w:color="000000"/>
              <w:left w:val="single" w:sz="2" w:space="0" w:color="000000"/>
              <w:bottom w:val="single" w:sz="2" w:space="0" w:color="000000"/>
            </w:tcBorders>
            <w:vAlign w:val="center"/>
          </w:tcPr>
          <w:p>
            <w:pPr>
              <w:pStyle w:val="Style22"/>
              <w:jc w:val="center"/>
              <w:rPr>
                <w:lang w:val="uk-UA"/>
              </w:rPr>
            </w:pPr>
            <w:r>
              <w:rPr>
                <w:lang w:val="uk-UA"/>
              </w:rPr>
              <w:t>Найменування послуг</w:t>
            </w:r>
          </w:p>
        </w:tc>
        <w:tc>
          <w:tcPr>
            <w:tcW w:w="2835" w:type="dxa"/>
            <w:tcBorders>
              <w:top w:val="single" w:sz="2" w:space="0" w:color="000000"/>
              <w:left w:val="single" w:sz="2" w:space="0" w:color="000000"/>
              <w:bottom w:val="single" w:sz="2" w:space="0" w:color="000000"/>
              <w:right w:val="single" w:sz="2" w:space="0" w:color="000000"/>
            </w:tcBorders>
            <w:vAlign w:val="center"/>
          </w:tcPr>
          <w:p>
            <w:pPr>
              <w:pStyle w:val="Style22"/>
              <w:jc w:val="center"/>
              <w:rPr>
                <w:lang w:val="uk-UA"/>
              </w:rPr>
            </w:pPr>
            <w:r>
              <w:rPr>
                <w:lang w:val="uk-UA"/>
              </w:rPr>
              <w:t>Кількість (діто/днів)</w:t>
            </w:r>
          </w:p>
        </w:tc>
      </w:tr>
      <w:tr>
        <w:trPr/>
        <w:tc>
          <w:tcPr>
            <w:tcW w:w="515" w:type="dxa"/>
            <w:tcBorders>
              <w:left w:val="single" w:sz="2" w:space="0" w:color="000000"/>
              <w:bottom w:val="single" w:sz="2" w:space="0" w:color="000000"/>
            </w:tcBorders>
          </w:tcPr>
          <w:p>
            <w:pPr>
              <w:pStyle w:val="Style22"/>
              <w:jc w:val="center"/>
              <w:rPr/>
            </w:pPr>
            <w:r>
              <w:rPr/>
              <w:t>1).</w:t>
            </w:r>
          </w:p>
        </w:tc>
        <w:tc>
          <w:tcPr>
            <w:tcW w:w="7195" w:type="dxa"/>
            <w:tcBorders>
              <w:left w:val="single" w:sz="2" w:space="0" w:color="000000"/>
              <w:bottom w:val="single" w:sz="2" w:space="0" w:color="000000"/>
            </w:tcBorders>
          </w:tcPr>
          <w:p>
            <w:pPr>
              <w:pStyle w:val="Style22"/>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2835" w:type="dxa"/>
            <w:tcBorders>
              <w:left w:val="single" w:sz="2" w:space="0" w:color="000000"/>
              <w:bottom w:val="single" w:sz="2" w:space="0" w:color="000000"/>
              <w:right w:val="single" w:sz="2" w:space="0" w:color="000000"/>
            </w:tcBorders>
            <w:vAlign w:val="center"/>
          </w:tcPr>
          <w:p>
            <w:pPr>
              <w:pStyle w:val="Style22"/>
              <w:jc w:val="center"/>
              <w:rPr>
                <w:shd w:fill="auto" w:val="clear"/>
              </w:rPr>
            </w:pPr>
            <w:r>
              <w:rPr>
                <w:rFonts w:ascii="Times New Roman" w:hAnsi="Times New Roman"/>
                <w:sz w:val="24"/>
                <w:szCs w:val="24"/>
                <w:shd w:fill="auto" w:val="clear"/>
                <w:lang w:val="uk-UA"/>
              </w:rPr>
              <w:t xml:space="preserve">5190 </w:t>
            </w:r>
            <w:r>
              <w:rPr>
                <w:shd w:fill="auto" w:val="clear"/>
                <w:lang w:val="uk-UA"/>
              </w:rPr>
              <w:t>од.</w:t>
            </w:r>
          </w:p>
        </w:tc>
      </w:tr>
      <w:tr>
        <w:trPr/>
        <w:tc>
          <w:tcPr>
            <w:tcW w:w="515" w:type="dxa"/>
            <w:tcBorders>
              <w:left w:val="single" w:sz="2" w:space="0" w:color="000000"/>
              <w:bottom w:val="single" w:sz="2" w:space="0" w:color="000000"/>
            </w:tcBorders>
          </w:tcPr>
          <w:p>
            <w:pPr>
              <w:pStyle w:val="Style22"/>
              <w:jc w:val="center"/>
              <w:rPr/>
            </w:pPr>
            <w:r>
              <w:rPr/>
              <w:t>2).</w:t>
            </w:r>
          </w:p>
        </w:tc>
        <w:tc>
          <w:tcPr>
            <w:tcW w:w="7195" w:type="dxa"/>
            <w:tcBorders>
              <w:left w:val="single" w:sz="2" w:space="0" w:color="000000"/>
              <w:bottom w:val="single" w:sz="2" w:space="0" w:color="000000"/>
            </w:tcBorders>
          </w:tcPr>
          <w:p>
            <w:pPr>
              <w:pStyle w:val="Style22"/>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2835" w:type="dxa"/>
            <w:tcBorders>
              <w:left w:val="single" w:sz="2" w:space="0" w:color="000000"/>
              <w:bottom w:val="single" w:sz="2" w:space="0" w:color="000000"/>
              <w:right w:val="single" w:sz="2" w:space="0" w:color="000000"/>
            </w:tcBorders>
            <w:vAlign w:val="center"/>
          </w:tcPr>
          <w:p>
            <w:pPr>
              <w:pStyle w:val="Style22"/>
              <w:jc w:val="center"/>
              <w:rPr>
                <w:shd w:fill="auto" w:val="clear"/>
              </w:rPr>
            </w:pPr>
            <w:r>
              <w:rPr>
                <w:rFonts w:ascii="Times New Roman" w:hAnsi="Times New Roman"/>
                <w:sz w:val="24"/>
                <w:szCs w:val="24"/>
                <w:shd w:fill="auto" w:val="clear"/>
                <w:lang w:val="uk-UA"/>
              </w:rPr>
              <w:t xml:space="preserve">12495 </w:t>
            </w:r>
            <w:r>
              <w:rPr>
                <w:shd w:fill="auto" w:val="clear"/>
                <w:lang w:val="uk-UA"/>
              </w:rPr>
              <w:t>од.</w:t>
            </w:r>
          </w:p>
        </w:tc>
      </w:tr>
      <w:tr>
        <w:trPr/>
        <w:tc>
          <w:tcPr>
            <w:tcW w:w="515" w:type="dxa"/>
            <w:tcBorders>
              <w:left w:val="single" w:sz="2" w:space="0" w:color="000000"/>
              <w:bottom w:val="single" w:sz="2" w:space="0" w:color="000000"/>
            </w:tcBorders>
          </w:tcPr>
          <w:p>
            <w:pPr>
              <w:pStyle w:val="Style22"/>
              <w:jc w:val="center"/>
              <w:rPr/>
            </w:pPr>
            <w:r>
              <w:rPr/>
              <w:t>3</w:t>
            </w:r>
            <w:r>
              <w:rPr/>
              <w:t>).</w:t>
            </w:r>
          </w:p>
        </w:tc>
        <w:tc>
          <w:tcPr>
            <w:tcW w:w="7195" w:type="dxa"/>
            <w:tcBorders>
              <w:left w:val="single" w:sz="2" w:space="0" w:color="000000"/>
              <w:bottom w:val="single" w:sz="2" w:space="0" w:color="000000"/>
            </w:tcBorders>
          </w:tcPr>
          <w:p>
            <w:pPr>
              <w:pStyle w:val="Style22"/>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2835" w:type="dxa"/>
            <w:tcBorders>
              <w:left w:val="single" w:sz="2" w:space="0" w:color="000000"/>
              <w:bottom w:val="single" w:sz="2" w:space="0" w:color="000000"/>
              <w:right w:val="single" w:sz="2" w:space="0" w:color="000000"/>
            </w:tcBorders>
            <w:vAlign w:val="center"/>
          </w:tcPr>
          <w:p>
            <w:pPr>
              <w:pStyle w:val="Style22"/>
              <w:jc w:val="center"/>
              <w:rPr>
                <w:shd w:fill="auto" w:val="clear"/>
              </w:rPr>
            </w:pPr>
            <w:r>
              <w:rPr>
                <w:rFonts w:ascii="Times New Roman" w:hAnsi="Times New Roman"/>
                <w:sz w:val="24"/>
                <w:szCs w:val="24"/>
                <w:shd w:fill="auto" w:val="clear"/>
                <w:lang w:val="uk-UA"/>
              </w:rPr>
              <w:t xml:space="preserve"> </w:t>
            </w:r>
            <w:r>
              <w:rPr>
                <w:rFonts w:ascii="Times New Roman" w:hAnsi="Times New Roman"/>
                <w:sz w:val="24"/>
                <w:szCs w:val="24"/>
                <w:shd w:fill="auto" w:val="clear"/>
                <w:lang w:val="uk-UA"/>
              </w:rPr>
              <w:t xml:space="preserve">7395 </w:t>
            </w:r>
            <w:r>
              <w:rPr>
                <w:shd w:fill="auto" w:val="clear"/>
                <w:lang w:val="uk-UA"/>
              </w:rPr>
              <w:t>од.</w:t>
            </w:r>
          </w:p>
        </w:tc>
      </w:tr>
      <w:tr>
        <w:trPr/>
        <w:tc>
          <w:tcPr>
            <w:tcW w:w="515" w:type="dxa"/>
            <w:tcBorders>
              <w:left w:val="single" w:sz="2" w:space="0" w:color="000000"/>
              <w:bottom w:val="single" w:sz="2" w:space="0" w:color="000000"/>
            </w:tcBorders>
          </w:tcPr>
          <w:p>
            <w:pPr>
              <w:pStyle w:val="Style22"/>
              <w:jc w:val="center"/>
              <w:rPr/>
            </w:pPr>
            <w:r>
              <w:rPr/>
              <w:t>4</w:t>
            </w:r>
            <w:r>
              <w:rPr/>
              <w:t>).</w:t>
            </w:r>
          </w:p>
        </w:tc>
        <w:tc>
          <w:tcPr>
            <w:tcW w:w="7195" w:type="dxa"/>
            <w:tcBorders>
              <w:left w:val="single" w:sz="2" w:space="0" w:color="000000"/>
              <w:bottom w:val="single" w:sz="2" w:space="0" w:color="000000"/>
            </w:tcBorders>
          </w:tcPr>
          <w:p>
            <w:pPr>
              <w:pStyle w:val="Style22"/>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2835" w:type="dxa"/>
            <w:tcBorders>
              <w:left w:val="single" w:sz="2" w:space="0" w:color="000000"/>
              <w:bottom w:val="single" w:sz="2" w:space="0" w:color="000000"/>
              <w:right w:val="single" w:sz="2" w:space="0" w:color="000000"/>
            </w:tcBorders>
            <w:vAlign w:val="center"/>
          </w:tcPr>
          <w:p>
            <w:pPr>
              <w:pStyle w:val="Style22"/>
              <w:jc w:val="center"/>
              <w:rPr>
                <w:shd w:fill="auto" w:val="clear"/>
              </w:rPr>
            </w:pPr>
            <w:r>
              <w:rPr>
                <w:rFonts w:ascii="Times New Roman" w:hAnsi="Times New Roman"/>
                <w:sz w:val="24"/>
                <w:szCs w:val="24"/>
                <w:shd w:fill="auto" w:val="clear"/>
                <w:lang w:val="uk-UA"/>
              </w:rPr>
              <w:t xml:space="preserve"> </w:t>
            </w:r>
            <w:r>
              <w:rPr>
                <w:rFonts w:ascii="Times New Roman" w:hAnsi="Times New Roman"/>
                <w:sz w:val="24"/>
                <w:szCs w:val="24"/>
                <w:shd w:fill="auto" w:val="clear"/>
                <w:lang w:val="uk-UA"/>
              </w:rPr>
              <w:t xml:space="preserve">3825 </w:t>
            </w:r>
            <w:r>
              <w:rPr>
                <w:shd w:fill="auto" w:val="clear"/>
                <w:lang w:val="uk-UA"/>
              </w:rPr>
              <w:t>од.</w:t>
            </w:r>
          </w:p>
        </w:tc>
      </w:tr>
      <w:tr>
        <w:trPr/>
        <w:tc>
          <w:tcPr>
            <w:tcW w:w="515" w:type="dxa"/>
            <w:tcBorders>
              <w:left w:val="single" w:sz="2" w:space="0" w:color="000000"/>
              <w:bottom w:val="single" w:sz="2" w:space="0" w:color="000000"/>
            </w:tcBorders>
          </w:tcPr>
          <w:p>
            <w:pPr>
              <w:pStyle w:val="Style22"/>
              <w:jc w:val="center"/>
              <w:rPr/>
            </w:pPr>
            <w:r>
              <w:rPr/>
              <w:t>5</w:t>
            </w:r>
            <w:r>
              <w:rPr/>
              <w:t>).</w:t>
            </w:r>
          </w:p>
        </w:tc>
        <w:tc>
          <w:tcPr>
            <w:tcW w:w="7195" w:type="dxa"/>
            <w:tcBorders>
              <w:left w:val="single" w:sz="2" w:space="0" w:color="000000"/>
              <w:bottom w:val="single" w:sz="2" w:space="0" w:color="000000"/>
            </w:tcBorders>
          </w:tcPr>
          <w:p>
            <w:pPr>
              <w:pStyle w:val="Style22"/>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2835" w:type="dxa"/>
            <w:tcBorders>
              <w:left w:val="single" w:sz="2" w:space="0" w:color="000000"/>
              <w:bottom w:val="single" w:sz="2" w:space="0" w:color="000000"/>
              <w:right w:val="single" w:sz="2" w:space="0" w:color="000000"/>
            </w:tcBorders>
            <w:vAlign w:val="center"/>
          </w:tcPr>
          <w:p>
            <w:pPr>
              <w:pStyle w:val="Style22"/>
              <w:jc w:val="center"/>
              <w:rPr>
                <w:shd w:fill="auto" w:val="clear"/>
              </w:rPr>
            </w:pPr>
            <w:r>
              <w:rPr>
                <w:rFonts w:ascii="Times New Roman" w:hAnsi="Times New Roman"/>
                <w:sz w:val="24"/>
                <w:szCs w:val="24"/>
                <w:shd w:fill="auto" w:val="clear"/>
                <w:lang w:val="uk-UA"/>
              </w:rPr>
              <w:t xml:space="preserve">4335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3 рази на день </w:t>
      </w:r>
      <w:r>
        <w:rPr>
          <w:rFonts w:eastAsia="Times New Roman" w:cs="Times New Roman" w:ascii="Times New Roman" w:hAnsi="Times New Roman"/>
          <w:b w:val="false"/>
          <w:bCs w:val="false"/>
          <w:color w:val="000000"/>
          <w:sz w:val="24"/>
          <w:szCs w:val="24"/>
          <w:lang w:val="uk-UA" w:eastAsia="ar-SA" w:bidi="ar-SA"/>
        </w:rPr>
        <w:t xml:space="preserve">для </w:t>
      </w:r>
      <w:r>
        <w:rPr>
          <w:rFonts w:eastAsia="Times New Roman" w:cs="Times New Roman" w:ascii="Times New Roman" w:hAnsi="Times New Roman"/>
          <w:b w:val="false"/>
          <w:bCs w:val="false"/>
          <w:color w:val="000000"/>
          <w:sz w:val="24"/>
          <w:szCs w:val="24"/>
          <w:lang w:val="uk-UA" w:eastAsia="ar-SA" w:bidi="ar-SA"/>
        </w:rPr>
        <w:t xml:space="preserve">вихованців закладів дошкільної освіти </w:t>
      </w:r>
      <w:r>
        <w:rPr>
          <w:rFonts w:eastAsia="Times New Roman" w:cs="Times New Roman" w:ascii="Times New Roman" w:hAnsi="Times New Roman"/>
          <w:b w:val="false"/>
          <w:bCs w:val="false"/>
          <w:color w:val="000000"/>
          <w:sz w:val="24"/>
          <w:szCs w:val="24"/>
          <w:lang w:val="uk-UA" w:eastAsia="ar-SA" w:bidi="ar-SA"/>
        </w:rPr>
        <w:t>та 1 раз на день для учнів закладів загальної середньої освіти.</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Очікувана вартість не повинна перевищувати грошову норму вартості, встановлену рішенням Татарбунарської міської ради Одеської області:</w:t>
      </w:r>
    </w:p>
    <w:p>
      <w:pPr>
        <w:pStyle w:val="Normal"/>
        <w:widowControl w:val="false"/>
        <w:spacing w:lineRule="auto" w:line="360" w:before="0" w:after="0"/>
        <w:rPr/>
      </w:pPr>
      <w:r>
        <w:rPr>
          <w:rFonts w:cs="Times New Roman" w:ascii="Times New Roman" w:hAnsi="Times New Roman"/>
          <w:sz w:val="24"/>
          <w:szCs w:val="24"/>
          <w:lang w:val="uk-UA"/>
        </w:rPr>
        <w:t>- від 08 вересня 2023 року № 111</w:t>
      </w:r>
      <w:r>
        <w:rPr>
          <w:rFonts w:cs="Times New Roman" w:ascii="Times New Roman" w:hAnsi="Times New Roman"/>
          <w:sz w:val="24"/>
          <w:szCs w:val="24"/>
          <w:lang w:val="uk-UA"/>
        </w:rPr>
        <w:t>7</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закладів дошкільної освіти: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2 (двох) до 4 (чотирьох) років – 126,00 грн. на одну дитину в день за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4 (чотирьох) до 6 (шести) років – 149,00 грн. на одну дитину в день за надання послуг з гарячого харчування.</w:t>
      </w:r>
    </w:p>
    <w:p>
      <w:pPr>
        <w:pStyle w:val="Normal"/>
        <w:widowControl w:val="false"/>
        <w:spacing w:lineRule="auto" w:line="360" w:before="0" w:after="0"/>
        <w:rPr/>
      </w:pPr>
      <w:r>
        <w:rPr>
          <w:rFonts w:ascii="Times New Roman" w:hAnsi="Times New Roman"/>
          <w:sz w:val="24"/>
          <w:szCs w:val="24"/>
          <w:lang w:val="uk-UA"/>
        </w:rPr>
        <w:t xml:space="preserve">- від </w:t>
      </w:r>
      <w:r>
        <w:rPr>
          <w:rFonts w:cs="Times New Roman" w:ascii="Times New Roman" w:hAnsi="Times New Roman"/>
          <w:sz w:val="24"/>
          <w:szCs w:val="24"/>
          <w:lang w:val="uk-UA"/>
        </w:rPr>
        <w:t>08 вересня 2023 року № 111</w:t>
      </w:r>
      <w:r>
        <w:rPr>
          <w:rFonts w:cs="Times New Roman" w:ascii="Times New Roman" w:hAnsi="Times New Roman"/>
          <w:sz w:val="24"/>
          <w:szCs w:val="24"/>
          <w:lang w:val="uk-UA"/>
        </w:rPr>
        <w:t>8</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w:t>
      </w:r>
      <w:r>
        <w:rPr>
          <w:rFonts w:ascii="Times New Roman" w:hAnsi="Times New Roman"/>
          <w:sz w:val="24"/>
          <w:szCs w:val="24"/>
          <w:lang w:val="uk-UA"/>
        </w:rPr>
        <w:t xml:space="preserve"> для послуг з організації гарячого харчування </w:t>
      </w:r>
      <w:r>
        <w:rPr>
          <w:rFonts w:ascii="Times New Roman" w:hAnsi="Times New Roman"/>
          <w:sz w:val="24"/>
          <w:szCs w:val="24"/>
          <w:lang w:val="uk-UA"/>
        </w:rPr>
        <w:t>учнів</w:t>
      </w:r>
      <w:r>
        <w:rPr>
          <w:rFonts w:ascii="Times New Roman" w:hAnsi="Times New Roman"/>
          <w:sz w:val="24"/>
          <w:szCs w:val="24"/>
          <w:lang w:val="uk-UA"/>
        </w:rPr>
        <w:t xml:space="preserve"> закладів загальної середньої освіти: </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Переможець процедури закупівлі зобов’язаний:</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харчоблоки інвентарем, спецодягом, миючими та дезінфікуючими  засобами;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належне санітарне утримання приміщень харчоблоків, технологічного обладнання та інвентарю;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наявність картками та іншою технологічною документацією кожну страву, що буде готуватись у їдальні дошкільного підрозділу;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дотримуватись, щоб харчування дітей було повноцінним, безпечним, якісним, збалансованим та раціональним;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суворо дотримуватись правил приймання продуктів, що отримує їдальня,  а також умов і строків зберігання і реалізації продуктів, що швидко псуються;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приготування їжі високої якості, проведення щоденного бракеражу страв за участю працівників Замовника;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наявність у працівників, що здійснюватимуть харчування вихованців дошкільного підрозділу, медичних довідок відповідно до вимог чинного законодавства; забезпечувати відповідність ваги готової порції; забезпечувати термін зберігання товару відповідно до санітарних норм зберігання.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1.4.  </w:t>
      </w:r>
      <w:r>
        <w:rPr>
          <w:rFonts w:ascii="Times New Roman" w:hAnsi="Times New Roman"/>
          <w:sz w:val="24"/>
          <w:szCs w:val="24"/>
          <w:lang w:val="uk-UA"/>
        </w:rPr>
        <w:t xml:space="preserve">В ціну послуг учасники повинні врахувати всі витрати на сплату комунальних послуг та електроенергії, використаних в їдальні.  Виконавець послуг оплачує комунальні послуги щомісячно по факту використання згідно показів лічильників.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1.5. </w:t>
      </w:r>
      <w:r>
        <w:rPr>
          <w:rFonts w:ascii="Times New Roman" w:hAnsi="Times New Roman"/>
          <w:sz w:val="24"/>
          <w:szCs w:val="24"/>
          <w:lang w:val="uk-UA"/>
        </w:rPr>
        <w:t>Виконавець  забезпечує харчоблоки необхідним для приготування та зберігання їжі, а саме: дошками для розробки продуктів (не менше 5 шт.), ножами для нарізки продуктів (не менше 5 шт.), кухонним посудом, столовим посудом, та іншим приладдям, відповідно до вимог законодавства.</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6</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7</w:t>
      </w:r>
      <w:r>
        <w:rPr>
          <w:rFonts w:eastAsia="Times New Roman" w:cs="Times New Roman"/>
          <w:b w:val="false"/>
          <w:bCs w:val="false"/>
          <w:i w:val="false"/>
          <w:iCs w:val="false"/>
          <w:color w:val="auto"/>
          <w:kern w:val="0"/>
          <w:sz w:val="24"/>
          <w:szCs w:val="24"/>
          <w:u w:val="none"/>
          <w:lang w:val="uk-UA" w:eastAsia="ru-RU" w:bidi="ar-SA"/>
        </w:rPr>
        <w:t xml:space="preserve">. 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left="0" w:right="0" w:hanging="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1.8. Постачання гарячих страв вихованцям дошкільного підрозділу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Держпродспоживслужби, або іншим органом, який має відповідні повноваження щодо погодження меню для харчування, щодо кожної категорії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вихованців закладів дошкільної освіти та учнів закладів загальної середньої освіти (надалі — дітей)</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left="0" w:right="0" w:firstLine="284"/>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дітей,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Виконавцем, спільно з медичним працівником навчального закладу, складається дієтичне двотижневе меню, яке затверджується керівником навчального закладу Замовника та погоджується з територіальним органом Держпродспоживслужби</w:t>
      </w:r>
    </w:p>
    <w:p>
      <w:pPr>
        <w:pStyle w:val="NoSpacing"/>
        <w:spacing w:lineRule="auto" w:line="360"/>
        <w:ind w:left="0" w:right="0" w:firstLine="284"/>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left="0" w:right="0" w:firstLine="284"/>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закладу освіти Виконавцем).</w:t>
      </w:r>
    </w:p>
    <w:p>
      <w:pPr>
        <w:pStyle w:val="NoSpacing"/>
        <w:spacing w:lineRule="auto" w:line="360"/>
        <w:ind w:left="0" w:right="0" w:firstLine="284"/>
        <w:jc w:val="both"/>
        <w:rPr>
          <w:rFonts w:ascii="Times New Roman" w:hAnsi="Times New Roman"/>
          <w:spacing w:val="4"/>
          <w:sz w:val="24"/>
          <w:szCs w:val="24"/>
          <w:lang w:val="uk-UA" w:bidi="ar-SA"/>
        </w:rPr>
      </w:pPr>
      <w:r>
        <w:rPr>
          <w:rFonts w:ascii="Times New Roman" w:hAnsi="Times New Roman"/>
          <w:spacing w:val="4"/>
          <w:sz w:val="24"/>
          <w:szCs w:val="24"/>
          <w:lang w:val="uk-UA" w:bidi="ar-SA"/>
        </w:rPr>
        <w:tab/>
        <w:t>Продукти харчування мають постачатися з терміном придатності не менше 80% від загального терміну збереження.</w:t>
      </w:r>
    </w:p>
    <w:p>
      <w:pPr>
        <w:pStyle w:val="Docdata"/>
        <w:widowControl w:val="false"/>
        <w:spacing w:lineRule="auto" w:line="360" w:before="0" w:after="0"/>
        <w:ind w:left="0" w:right="0" w:firstLine="284"/>
        <w:jc w:val="both"/>
        <w:rPr>
          <w:rFonts w:ascii="Times New Roman" w:hAnsi="Times New Roman"/>
          <w:sz w:val="24"/>
          <w:szCs w:val="24"/>
        </w:rPr>
      </w:pPr>
      <w:r>
        <w:rPr>
          <w:rFonts w:ascii="Times New Roman" w:hAnsi="Times New Roman"/>
          <w:sz w:val="24"/>
          <w:szCs w:val="24"/>
          <w:lang w:val="uk-UA" w:bidi="ar-SA"/>
        </w:rPr>
        <w:tab/>
        <w:t xml:space="preserve">За  відсутності  будь-якого продукту, для збереження  харчової та біологічної  цінності, належить  провести  заміну,  керуючись  переліком  страв,  включених  в збірник  рецептур страв для харчування  вихованців. Дозволяється заміна гарнірів з круп, напоїв, борошняних виробів рівноцінними продуктами за біологічною цінністю та вартістю страв. </w:t>
      </w:r>
      <w:r>
        <w:rPr>
          <w:rFonts w:ascii="Times New Roman" w:hAnsi="Times New Roman"/>
          <w:color w:val="000000"/>
          <w:sz w:val="24"/>
          <w:szCs w:val="24"/>
          <w:lang w:val="uk-UA" w:bidi="ar-SA"/>
        </w:rPr>
        <w:t xml:space="preserve"> </w:t>
      </w:r>
    </w:p>
    <w:p>
      <w:pPr>
        <w:pStyle w:val="NoSpacing"/>
        <w:spacing w:lineRule="auto" w:line="360"/>
        <w:ind w:left="0" w:right="0" w:firstLine="284"/>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 xml:space="preserve">Постанови Кабінету Міністрів України від 24 березня 2021 року №305 "Норми харчування у закладах освіти та дитячих закладах оздоровлення та відпочинку". </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left="0" w:right="0" w:firstLine="72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9</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spacing w:lineRule="auto" w:line="360" w:before="0" w:after="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10</w:t>
      </w:r>
      <w:r>
        <w:rPr>
          <w:rFonts w:eastAsia="Times New Roman" w:cs="Times New Roman"/>
          <w:b w:val="false"/>
          <w:bCs w:val="false"/>
          <w:color w:val="000000"/>
          <w:kern w:val="0"/>
          <w:sz w:val="24"/>
          <w:szCs w:val="24"/>
          <w:lang w:val="uk-UA" w:eastAsia="ar-SA" w:bidi="ar-SA"/>
        </w:rPr>
        <w:t xml:space="preserve">. 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надання послуг / виконання робіт працівників,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11</w:t>
      </w:r>
      <w:r>
        <w:rPr>
          <w:rFonts w:eastAsia="Times New Roman" w:cs="Times New Roman"/>
          <w:b w:val="false"/>
          <w:bCs w:val="false"/>
          <w:color w:val="000000"/>
          <w:kern w:val="0"/>
          <w:sz w:val="24"/>
          <w:szCs w:val="24"/>
          <w:lang w:val="uk-UA" w:eastAsia="ar-SA" w:bidi="ar-SA"/>
        </w:rPr>
        <w:t>. Для надання послуг / виконання робіт повинні використовуватися якісне відповідне устаткування, знаряддя праці, обладнання та матеріали, машини і механізми, техніка які відповідають вимогам діючого законодавства та держстандартам, а також мають застосовуватися заходи із захисту довкілля.</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12</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000000"/>
          <w:kern w:val="0"/>
          <w:sz w:val="24"/>
          <w:szCs w:val="24"/>
          <w:u w:val="none"/>
          <w:lang w:val="uk-UA" w:eastAsia="ar-SA" w:bidi="ar-SA"/>
        </w:rPr>
        <w:t xml:space="preserve">1.13.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left="0" w:right="0" w:hanging="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до 31.</w:t>
      </w:r>
      <w:r>
        <w:rPr>
          <w:rFonts w:eastAsia="Times New Roman"/>
          <w:b w:val="false"/>
          <w:bCs w:val="false"/>
          <w:i w:val="false"/>
          <w:iCs w:val="false"/>
          <w:color w:val="auto"/>
          <w:sz w:val="24"/>
          <w:szCs w:val="24"/>
          <w:lang w:val="uk-UA" w:eastAsia="ru-RU"/>
        </w:rPr>
        <w:t>03.</w:t>
      </w:r>
      <w:r>
        <w:rPr>
          <w:rFonts w:eastAsia="Times New Roman"/>
          <w:b w:val="false"/>
          <w:bCs w:val="false"/>
          <w:i w:val="false"/>
          <w:iCs w:val="false"/>
          <w:color w:val="auto"/>
          <w:sz w:val="24"/>
          <w:szCs w:val="24"/>
          <w:lang w:val="uk-UA" w:eastAsia="ru-RU"/>
        </w:rPr>
        <w:t>202</w:t>
      </w:r>
      <w:r>
        <w:rPr>
          <w:rFonts w:eastAsia="Times New Roman"/>
          <w:b w:val="false"/>
          <w:bCs w:val="false"/>
          <w:i w:val="false"/>
          <w:iCs w:val="false"/>
          <w:color w:val="auto"/>
          <w:sz w:val="24"/>
          <w:szCs w:val="24"/>
          <w:lang w:val="uk-UA" w:eastAsia="ru-RU"/>
        </w:rPr>
        <w:t>4</w:t>
      </w:r>
      <w:r>
        <w:rPr>
          <w:rFonts w:eastAsia="Times New Roman"/>
          <w:b w:val="false"/>
          <w:bCs w:val="false"/>
          <w:i w:val="false"/>
          <w:iCs w:val="false"/>
          <w:color w:val="auto"/>
          <w:sz w:val="24"/>
          <w:szCs w:val="24"/>
          <w:lang w:val="uk-UA" w:eastAsia="ru-RU"/>
        </w:rPr>
        <w:t xml:space="preserve"> року</w:t>
      </w:r>
    </w:p>
    <w:p>
      <w:pPr>
        <w:pStyle w:val="Normal"/>
        <w:widowControl/>
        <w:suppressAutoHyphens w:val="true"/>
        <w:bidi w:val="0"/>
        <w:spacing w:lineRule="auto" w:line="360" w:before="0" w:after="0"/>
        <w:ind w:left="0" w:right="0" w:hanging="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3. Місце надання послуг:</w:t>
      </w:r>
    </w:p>
    <w:p>
      <w:pPr>
        <w:pStyle w:val="Normal"/>
        <w:widowControl/>
        <w:suppressAutoHyphens w:val="true"/>
        <w:bidi w:val="0"/>
        <w:spacing w:lineRule="auto" w:line="360" w:before="0" w:after="0"/>
        <w:ind w:left="0" w:right="0" w:hanging="0"/>
        <w:jc w:val="both"/>
        <w:rPr>
          <w:rFonts w:eastAsia="Times New Roman" w:cs="Times New Roman"/>
          <w:b/>
          <w:bCs/>
          <w:color w:val="000000"/>
          <w:kern w:val="0"/>
          <w:sz w:val="24"/>
          <w:szCs w:val="24"/>
          <w:lang w:val="uk-UA" w:eastAsia="ar-SA" w:bidi="ar-SA"/>
        </w:rPr>
      </w:pP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освіти Татарбунарської міської ради Одеської області, згідно нижчезазначеного переліку:</w:t>
      </w:r>
    </w:p>
    <w:tbl>
      <w:tblPr>
        <w:tblW w:w="10391" w:type="dxa"/>
        <w:jc w:val="center"/>
        <w:tblInd w:w="0" w:type="dxa"/>
        <w:tblLayout w:type="fixed"/>
        <w:tblCellMar>
          <w:top w:w="0" w:type="dxa"/>
          <w:left w:w="108" w:type="dxa"/>
          <w:bottom w:w="0" w:type="dxa"/>
          <w:right w:w="108" w:type="dxa"/>
        </w:tblCellMar>
      </w:tblPr>
      <w:tblGrid>
        <w:gridCol w:w="523"/>
        <w:gridCol w:w="4912"/>
        <w:gridCol w:w="4956"/>
      </w:tblGrid>
      <w:tr>
        <w:trPr>
          <w:trHeight w:val="636"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49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lang w:val="uk-UA" w:eastAsia="ru-RU"/>
              </w:rPr>
            </w:pPr>
            <w:r>
              <w:rPr>
                <w:rFonts w:ascii="Times New Roman" w:hAnsi="Times New Roman"/>
                <w:lang w:val="uk-UA" w:eastAsia="ru-RU"/>
              </w:rPr>
              <w:t>1</w:t>
            </w:r>
          </w:p>
        </w:tc>
        <w:tc>
          <w:tcPr>
            <w:tcW w:w="49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color w:val="000000"/>
              </w:rPr>
            </w:pPr>
            <w:r>
              <w:rPr>
                <w:rFonts w:ascii="Times New Roman" w:hAnsi="Times New Roman"/>
                <w:color w:val="000000"/>
                <w:lang w:val="uk-UA" w:eastAsia="ru-RU"/>
              </w:rPr>
              <w:t>Дел</w:t>
            </w:r>
            <w:r>
              <w:rPr>
                <w:rFonts w:ascii="Times New Roman" w:hAnsi="Times New Roman"/>
                <w:color w:val="000000"/>
                <w:lang w:eastAsia="ru-RU"/>
              </w:rPr>
              <w:t xml:space="preserve">ьжилерський ліцей Татарбунарської міської ради </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98"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lang w:val="uk-UA" w:eastAsia="ru-RU"/>
              </w:rPr>
            </w:pPr>
            <w:r>
              <w:rPr>
                <w:rFonts w:ascii="Times New Roman" w:hAnsi="Times New Roman"/>
                <w:lang w:val="uk-UA" w:eastAsia="ru-RU"/>
              </w:rPr>
              <w:t>2</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olor w:val="000000"/>
                <w:lang w:val="uk-UA"/>
              </w:rPr>
            </w:pPr>
            <w:r>
              <w:rPr>
                <w:rFonts w:ascii="Times New Roman" w:hAnsi="Times New Roman"/>
                <w:color w:val="000000"/>
                <w:lang w:val="uk-UA" w:eastAsia="ru-RU"/>
              </w:rPr>
              <w:t xml:space="preserve">Татарбунарськийліцейімені  В. З. Тура Татарбунарської міської ради </w:t>
            </w:r>
          </w:p>
        </w:tc>
        <w:tc>
          <w:tcPr>
            <w:tcW w:w="495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 Барінова, 10</w:t>
            </w:r>
          </w:p>
        </w:tc>
      </w:tr>
      <w:tr>
        <w:trPr>
          <w:trHeight w:val="584"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lang w:val="uk-UA" w:eastAsia="ru-RU"/>
              </w:rPr>
            </w:pPr>
            <w:r>
              <w:rPr>
                <w:rFonts w:ascii="Times New Roman" w:hAnsi="Times New Roman"/>
                <w:lang w:val="uk-UA" w:eastAsia="ru-RU"/>
              </w:rPr>
              <w:t>3</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olor w:val="000000"/>
              </w:rPr>
            </w:pPr>
            <w:r>
              <w:rPr>
                <w:rFonts w:ascii="Times New Roman" w:hAnsi="Times New Roman"/>
                <w:color w:val="000000"/>
                <w:lang w:eastAsia="ru-RU"/>
              </w:rPr>
              <w:t xml:space="preserve">Татарбунарський ліцей Татарбунарської міської ради </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вулиця Князева, 5</w:t>
            </w:r>
          </w:p>
        </w:tc>
      </w:tr>
      <w:tr>
        <w:trPr>
          <w:trHeight w:val="598"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olor w:val="000000"/>
                <w:lang w:val="uk-UA" w:eastAsia="ru-RU"/>
              </w:rPr>
            </w:pPr>
            <w:r>
              <w:rPr>
                <w:rFonts w:ascii="Times New Roman" w:hAnsi="Times New Roman"/>
                <w:color w:val="000000"/>
                <w:lang w:val="uk-UA" w:eastAsia="ru-RU"/>
              </w:rPr>
              <w:t>4</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Центральна, 68</w:t>
            </w:r>
          </w:p>
        </w:tc>
      </w:tr>
      <w:tr>
        <w:trPr>
          <w:trHeight w:val="584"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olor w:val="000000"/>
                <w:lang w:val="uk-UA" w:eastAsia="ru-RU"/>
              </w:rPr>
            </w:pPr>
            <w:r>
              <w:rPr>
                <w:rFonts w:ascii="Times New Roman" w:hAnsi="Times New Roman"/>
                <w:color w:val="000000"/>
                <w:lang w:val="uk-UA" w:eastAsia="ru-RU"/>
              </w:rPr>
              <w:t>5</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rPr>
            </w:pPr>
            <w:r>
              <w:rPr>
                <w:rFonts w:ascii="Times New Roman" w:hAnsi="Times New Roman"/>
                <w:lang w:eastAsia="ru-RU"/>
              </w:rPr>
              <w:t>Комунальний заклад дошкільної освіти (ясла-садок) «Колосок»  Татарбунарської міської ради Одеської області</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Клюшнікова, 23</w:t>
            </w:r>
          </w:p>
        </w:tc>
      </w:tr>
      <w:tr>
        <w:trPr>
          <w:trHeight w:val="598"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olor w:val="000000"/>
                <w:lang w:val="uk-UA" w:eastAsia="ru-RU"/>
              </w:rPr>
            </w:pPr>
            <w:r>
              <w:rPr>
                <w:rFonts w:ascii="Times New Roman" w:hAnsi="Times New Roman"/>
                <w:color w:val="000000"/>
                <w:lang w:val="uk-UA" w:eastAsia="ru-RU"/>
              </w:rPr>
              <w:t>6</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lang w:val="uk-UA"/>
              </w:rPr>
            </w:pPr>
            <w:r>
              <w:rPr>
                <w:rFonts w:ascii="Times New Roman" w:hAnsi="Times New Roman"/>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rPr>
            </w:pPr>
            <w:r>
              <w:rPr>
                <w:rFonts w:ascii="Times New Roman" w:hAnsi="Times New Roman"/>
                <w:lang w:eastAsia="ru-RU"/>
              </w:rPr>
              <w:t xml:space="preserve">68110,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Дельжилер, вулиця Перемоги , будинок 131</w:t>
            </w:r>
          </w:p>
        </w:tc>
      </w:tr>
      <w:tr>
        <w:trPr>
          <w:trHeight w:val="584"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olor w:val="000000"/>
                <w:lang w:val="uk-UA" w:eastAsia="ru-RU"/>
              </w:rPr>
            </w:pPr>
            <w:r>
              <w:rPr>
                <w:rFonts w:ascii="Times New Roman" w:hAnsi="Times New Roman"/>
                <w:color w:val="000000"/>
                <w:lang w:val="uk-UA" w:eastAsia="ru-RU"/>
              </w:rPr>
              <w:t>7</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«Веселка» Татарбунарської міської ради Одеської області</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rPr>
            </w:pPr>
            <w:r>
              <w:rPr>
                <w:rFonts w:ascii="Times New Roman" w:hAnsi="Times New Roman"/>
                <w:lang w:eastAsia="ru-RU"/>
              </w:rPr>
              <w:t xml:space="preserve">68122,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село Нерушай, вулиця Цетральна, 57</w:t>
            </w:r>
          </w:p>
        </w:tc>
      </w:tr>
      <w:tr>
        <w:trPr>
          <w:trHeight w:val="897"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olor w:val="000000"/>
                <w:lang w:val="uk-UA" w:eastAsia="ru-RU"/>
              </w:rPr>
            </w:pPr>
            <w:r>
              <w:rPr>
                <w:rFonts w:ascii="Times New Roman" w:hAnsi="Times New Roman"/>
                <w:color w:val="000000"/>
                <w:lang w:val="uk-UA" w:eastAsia="ru-RU"/>
              </w:rPr>
              <w:t>8</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«Буратіно» Татарбунарської міської ради Одеської області</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rPr>
            </w:pPr>
            <w:r>
              <w:rPr>
                <w:rFonts w:ascii="Times New Roman" w:hAnsi="Times New Roman"/>
                <w:lang w:eastAsia="ru-RU"/>
              </w:rPr>
              <w:t xml:space="preserve">68133,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Глибоке, вулиця Цетральна, будинок, 41 А</w:t>
            </w:r>
          </w:p>
        </w:tc>
      </w:tr>
      <w:tr>
        <w:trPr>
          <w:trHeight w:val="598"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olor w:val="000000"/>
                <w:lang w:val="uk-UA" w:eastAsia="ru-RU"/>
              </w:rPr>
            </w:pPr>
            <w:r>
              <w:rPr>
                <w:rFonts w:ascii="Times New Roman" w:hAnsi="Times New Roman"/>
                <w:color w:val="000000"/>
                <w:lang w:val="uk-UA" w:eastAsia="ru-RU"/>
              </w:rPr>
              <w:t>9</w:t>
            </w:r>
          </w:p>
        </w:tc>
        <w:tc>
          <w:tcPr>
            <w:tcW w:w="4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«Берізка» Татарбунарської міської ради Одеської області</w:t>
            </w:r>
          </w:p>
        </w:tc>
        <w:tc>
          <w:tcPr>
            <w:tcW w:w="4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rPr>
            </w:pPr>
            <w:r>
              <w:rPr>
                <w:rFonts w:ascii="Times New Roman" w:hAnsi="Times New Roman"/>
                <w:lang w:eastAsia="ru-RU"/>
              </w:rPr>
              <w:t xml:space="preserve">68112,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Борисівка, вулиця Миру, 1</w:t>
            </w:r>
          </w:p>
        </w:tc>
      </w:tr>
      <w:tr>
        <w:trPr>
          <w:trHeight w:val="598" w:hRule="atLeast"/>
        </w:trPr>
        <w:tc>
          <w:tcPr>
            <w:tcW w:w="523" w:type="dxa"/>
            <w:tcBorders>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olor w:val="000000"/>
                <w:lang w:val="uk-UA" w:eastAsia="ru-RU"/>
              </w:rPr>
            </w:pPr>
            <w:r>
              <w:rPr>
                <w:rFonts w:ascii="Times New Roman" w:hAnsi="Times New Roman"/>
                <w:color w:val="000000"/>
                <w:lang w:val="uk-UA" w:eastAsia="ru-RU"/>
              </w:rPr>
              <w:t>10</w:t>
            </w:r>
          </w:p>
        </w:tc>
        <w:tc>
          <w:tcPr>
            <w:tcW w:w="4912" w:type="dxa"/>
            <w:tcBorders>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«Сонечко» Татарбунарської міської ради Одеської області</w:t>
            </w:r>
          </w:p>
        </w:tc>
        <w:tc>
          <w:tcPr>
            <w:tcW w:w="4956"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rPr>
            </w:pPr>
            <w:r>
              <w:rPr>
                <w:rFonts w:ascii="Times New Roman" w:hAnsi="Times New Roman"/>
                <w:lang w:eastAsia="ru-RU"/>
              </w:rPr>
              <w:t xml:space="preserve">68130,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Білолісся, вулиця Свято-Покровська, 9</w:t>
            </w:r>
          </w:p>
        </w:tc>
      </w:tr>
    </w:tbl>
    <w:p>
      <w:pPr>
        <w:pStyle w:val="Normal"/>
        <w:suppressAutoHyphens w:val="true"/>
        <w:spacing w:lineRule="auto" w:line="360" w:before="0" w:after="0"/>
        <w:ind w:left="17" w:right="0" w:hanging="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left="17" w:right="0" w:hanging="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left="0" w:right="0" w:hanging="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left="0" w:right="0" w:hanging="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left="0" w:right="0" w:hanging="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left="0" w:right="0" w:hanging="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left="0" w:right="0" w:hanging="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left="0" w:right="0" w:hanging="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FreeSet">
    <w:charset w:val="cc"/>
    <w:family w:val="roman"/>
    <w:pitch w:val="variable"/>
  </w:font>
  <w:font w:name="Times New Roman CYR">
    <w:charset w:val="cc"/>
    <w:family w:val="roman"/>
    <w:pitch w:val="variable"/>
  </w:font>
  <w:font w:name="Courier New">
    <w:charset w:val="cc"/>
    <w:family w:val="roman"/>
    <w:pitch w:val="variable"/>
  </w:font>
  <w:font w:name="Arial">
    <w:charset w:val="cc"/>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7</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qFormat/>
    <w:pPr>
      <w:numPr>
        <w:ilvl w:val="0"/>
        <w:numId w:val="2"/>
      </w:numPr>
      <w:spacing w:lineRule="auto" w:line="240" w:before="280" w:after="280"/>
      <w:outlineLvl w:val="0"/>
    </w:pPr>
    <w:rPr>
      <w:rFonts w:ascii="Times New Roman" w:hAnsi="Times New Roman" w:cs="Times New Roman"/>
      <w:b/>
      <w:bCs/>
      <w:kern w:val="2"/>
      <w:sz w:val="48"/>
      <w:szCs w:val="48"/>
      <w:lang w:val="ru-RU"/>
    </w:rPr>
  </w:style>
  <w:style w:type="paragraph" w:styleId="2">
    <w:name w:val="Heading 2"/>
    <w:basedOn w:val="Normal"/>
    <w:qFormat/>
    <w:pPr>
      <w:numPr>
        <w:ilvl w:val="0"/>
        <w:numId w:val="0"/>
      </w:numPr>
      <w:spacing w:before="280" w:after="280"/>
      <w:outlineLvl w:val="1"/>
    </w:pPr>
    <w:rPr>
      <w:b/>
      <w:bCs/>
      <w:sz w:val="36"/>
      <w:szCs w:val="36"/>
    </w:rPr>
  </w:style>
  <w:style w:type="paragraph" w:styleId="3">
    <w:name w:val="Heading 3"/>
    <w:basedOn w:val="Style17"/>
    <w:qFormat/>
    <w:pPr/>
    <w:rPr/>
  </w:style>
  <w:style w:type="character" w:styleId="Style11">
    <w:name w:val="Маркери"/>
    <w:qFormat/>
    <w:rPr>
      <w:rFonts w:ascii="OpenSymbol" w:hAnsi="OpenSymbol" w:eastAsia="OpenSymbol" w:cs="OpenSymbol"/>
    </w:rPr>
  </w:style>
  <w:style w:type="character" w:styleId="Style12">
    <w:name w:val="Hyperlink"/>
    <w:rPr>
      <w:rFonts w:cs="Times New Roman"/>
      <w:color w:val="0000FF"/>
      <w:u w:val="single"/>
    </w:rPr>
  </w:style>
  <w:style w:type="character" w:styleId="DefaultParagraphFontWW">
    <w:name w:val="Default Paragraph Font (WW)"/>
    <w:qFormat/>
    <w:rPr/>
  </w:style>
  <w:style w:type="character" w:styleId="2350">
    <w:name w:val="2350"/>
    <w:basedOn w:val="DefaultParagraphFontWW"/>
    <w:qFormat/>
    <w:rPr/>
  </w:style>
  <w:style w:type="character" w:styleId="Style13">
    <w:name w:val="Emphasis"/>
    <w:basedOn w:val="DefaultParagraphFontWW"/>
    <w:qFormat/>
    <w:rPr>
      <w:i/>
      <w:iCs/>
    </w:rPr>
  </w:style>
  <w:style w:type="character" w:styleId="Style14">
    <w:name w:val="Strong"/>
    <w:basedOn w:val="DefaultParagraphFontWW"/>
    <w:qFormat/>
    <w:rPr>
      <w:b/>
      <w:bCs/>
    </w:rPr>
  </w:style>
  <w:style w:type="character" w:styleId="Style15">
    <w:name w:val="Символ нумерації"/>
    <w:qFormat/>
    <w:rPr/>
  </w:style>
  <w:style w:type="character" w:styleId="Hps">
    <w:name w:val="hps"/>
    <w:qFormat/>
    <w:rPr/>
  </w:style>
  <w:style w:type="character" w:styleId="Style16">
    <w:name w:val="Основной шрифт абзаца"/>
    <w:qFormat/>
    <w:rPr/>
  </w:style>
  <w:style w:type="character" w:styleId="D-none">
    <w:name w:val="d-none"/>
    <w:basedOn w:val="Style16"/>
    <w:qFormat/>
    <w:rPr/>
  </w:style>
  <w:style w:type="character" w:styleId="Rvts0">
    <w:name w:val="rvts0"/>
    <w:qFormat/>
    <w:rPr>
      <w:rFonts w:cs="Times New Roman"/>
    </w:rPr>
  </w:style>
  <w:style w:type="character" w:styleId="Liki-item-option-title">
    <w:name w:val="liki-item-option-title"/>
    <w:basedOn w:val="DefaultParagraphFontWW"/>
    <w:qFormat/>
    <w:rPr/>
  </w:style>
  <w:style w:type="character" w:styleId="WW8Num3z0">
    <w:name w:val="WW8Num3z0"/>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Покажчик"/>
    <w:basedOn w:val="Normal"/>
    <w:qFormat/>
    <w:pPr>
      <w:suppressLineNumbers/>
    </w:pPr>
    <w:rPr>
      <w:rFonts w:cs="Mangal"/>
    </w:rPr>
  </w:style>
  <w:style w:type="paragraph" w:styleId="Style22">
    <w:name w:val="Вміст таблиці"/>
    <w:basedOn w:val="Normal"/>
    <w:qFormat/>
    <w:pPr>
      <w:suppressLineNumbers/>
    </w:pPr>
    <w:rPr/>
  </w:style>
  <w:style w:type="paragraph" w:styleId="Style23">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4">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lef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lef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left="720" w:right="0" w:hanging="0"/>
      <w:contextualSpacing/>
    </w:pPr>
    <w:rPr/>
  </w:style>
  <w:style w:type="paragraph" w:styleId="11">
    <w:name w:val="Îáû÷íûé1"/>
    <w:qFormat/>
    <w:pPr>
      <w:widowControl/>
      <w:suppressAutoHyphens w:val="true"/>
      <w:kinsoku w:val="true"/>
      <w:overflowPunct w:val="true"/>
      <w:autoSpaceDE w:val="true"/>
      <w:bidi w:val="0"/>
      <w:spacing w:before="0" w:after="0"/>
      <w:jc w:val="left"/>
      <w:textAlignment w:val="auto"/>
    </w:pPr>
    <w:rPr>
      <w:rFonts w:ascii="FreeSet" w:hAnsi="FreeSet" w:eastAsia="Times New Roman" w:cs="Liberation Serif"/>
      <w:color w:val="000000"/>
      <w:kern w:val="2"/>
      <w:sz w:val="24"/>
      <w:szCs w:val="24"/>
      <w:lang w:val="en-US" w:eastAsia="ar-SA" w:bidi="ar-SA"/>
    </w:rPr>
  </w:style>
  <w:style w:type="paragraph" w:styleId="Style25">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2">
    <w:name w:val="Обычный1"/>
    <w:qFormat/>
    <w:pPr>
      <w:widowControl/>
      <w:suppressAutoHyphens w:val="true"/>
      <w:kinsoku w:val="true"/>
      <w:overflowPunct w:val="false"/>
      <w:autoSpaceDE w:val="true"/>
      <w:bidi w:val="0"/>
      <w:spacing w:before="100" w:after="100"/>
      <w:jc w:val="left"/>
    </w:pPr>
    <w:rPr>
      <w:rFonts w:ascii="Times New Roman" w:hAnsi="Times New Roman" w:eastAsia="Times New Roman" w:cs="Times New Roman"/>
      <w:color w:val="auto"/>
      <w:kern w:val="2"/>
      <w:sz w:val="24"/>
      <w:szCs w:val="20"/>
      <w:lang w:val="ru-RU" w:eastAsia="zh-CN" w:bidi="ar-SA"/>
    </w:rPr>
  </w:style>
  <w:style w:type="paragraph" w:styleId="Style26">
    <w:name w:val="Заголовок таблиці"/>
    <w:basedOn w:val="Style22"/>
    <w:qFormat/>
    <w:pPr>
      <w:suppressLineNumbers/>
      <w:jc w:val="center"/>
    </w:pPr>
    <w:rPr>
      <w:b/>
      <w:bCs/>
    </w:rPr>
  </w:style>
  <w:style w:type="paragraph" w:styleId="ListParagraph11">
    <w:name w:val="List Paragraph11"/>
    <w:basedOn w:val="Normal"/>
    <w:qFormat/>
    <w:pPr>
      <w:suppressAutoHyphens w:val="false"/>
      <w:spacing w:lineRule="auto" w:line="240" w:before="0" w:after="0"/>
      <w:ind w:left="720" w:right="0" w:hanging="0"/>
      <w:contextualSpacing/>
    </w:pPr>
    <w:rPr>
      <w:rFonts w:ascii="Times New Roman" w:hAnsi="Times New Roman" w:cs="Times New Roman"/>
      <w:color w:val="auto"/>
      <w:sz w:val="20"/>
      <w:szCs w:val="20"/>
      <w:lang w:eastAsia="ru-RU"/>
    </w:rPr>
  </w:style>
  <w:style w:type="paragraph" w:styleId="Style27">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28">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2">
    <w:name w:val="Обычный2"/>
    <w:qFormat/>
    <w:pPr>
      <w:widowControl/>
      <w:suppressAutoHyphens w:val="true"/>
      <w:kinsoku w:val="true"/>
      <w:overflowPunct w:val="false"/>
      <w:autoSpaceDE w:val="true"/>
      <w:bidi w:val="0"/>
      <w:spacing w:lineRule="auto" w:line="276" w:before="0" w:after="0"/>
      <w:jc w:val="lef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LibreOffice/7.5.9.2$Windows_X86_64 LibreOffice_project/cdeefe45c17511d326101eed8008ac4092f278a9</Application>
  <AppVersion>15.0000</AppVersion>
  <Pages>7</Pages>
  <Words>2285</Words>
  <Characters>15926</Characters>
  <CharactersWithSpaces>18194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2024-01-08T11:40:40Z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