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1D15D8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5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35E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C139B8" w:rsidRPr="001D15D8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5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C139B8" w:rsidRPr="001D15D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15D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:rsidR="00260EA5" w:rsidRPr="001D15D8" w:rsidRDefault="00260EA5" w:rsidP="00035EE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EE9" w:rsidRPr="00035EE9" w:rsidRDefault="00035EE9" w:rsidP="00035EE9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</w:pPr>
      <w:r w:rsidRPr="00035E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  <w:t>«код ДК 021:2015-03220000-9 - Овочі, фрукти та горіхи»</w:t>
      </w:r>
    </w:p>
    <w:p w:rsidR="00035EE9" w:rsidRDefault="00035EE9" w:rsidP="00035EE9">
      <w:pPr>
        <w:keepNext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</w:pPr>
      <w:r w:rsidRPr="00035E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  <w:t xml:space="preserve">(Морква нового врожаю, цибуля перо, капуста білокачанна нового врожаю, буряк столовий нового врожаю, огірки свіжі, помідори свіжі, кабачки, перець болгарський, цвітна капуста, </w:t>
      </w:r>
      <w:proofErr w:type="spellStart"/>
      <w:r w:rsidRPr="00035E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  <w:t>капуста</w:t>
      </w:r>
      <w:proofErr w:type="spellEnd"/>
      <w:r w:rsidRPr="00035E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  <w:t xml:space="preserve"> пекінська, кавун, диня, аґрус, вишня, сливи, смородина, малина, полуниця, абрикоси, черешня)</w:t>
      </w:r>
    </w:p>
    <w:p w:rsidR="00D1593E" w:rsidRPr="00B259F6" w:rsidRDefault="00D1593E" w:rsidP="00035EE9">
      <w:pPr>
        <w:keepNext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ВИМОГИ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593E" w:rsidRDefault="00D1593E" w:rsidP="00D1593E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1. Строки постачання: до 31.12.202</w:t>
      </w:r>
      <w:r w:rsidR="0002424A">
        <w:rPr>
          <w:rFonts w:ascii="Times New Roman" w:hAnsi="Times New Roman" w:cs="Times New Roman"/>
          <w:color w:val="000000" w:themeColor="text1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:rsidR="00D1593E" w:rsidRDefault="00D1593E" w:rsidP="00D1593E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Технічні вимоги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D1593E" w:rsidRDefault="00D1593E" w:rsidP="00D1593E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товару;</w:t>
      </w:r>
    </w:p>
    <w:p w:rsidR="00D1593E" w:rsidRDefault="00D1593E" w:rsidP="00D1593E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:rsidR="0002424A" w:rsidRDefault="009C679D" w:rsidP="00D1593E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т</w:t>
      </w:r>
      <w:r w:rsidRPr="009C679D">
        <w:rPr>
          <w:rFonts w:ascii="Times New Roman" w:hAnsi="Times New Roman" w:cs="Times New Roman"/>
          <w:lang w:val="uk-UA"/>
        </w:rPr>
        <w:t xml:space="preserve">ермін придатності Товару на момент поставки повинен бути не менше 80% від основного терміну придатності згідно технічних умов на виробництві. </w:t>
      </w:r>
    </w:p>
    <w:p w:rsidR="00D1593E" w:rsidRDefault="00D1593E" w:rsidP="00D1593E">
      <w:pPr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:rsidR="00D1593E" w:rsidRPr="00D1593E" w:rsidRDefault="00D1593E" w:rsidP="00D1593E">
      <w:pPr>
        <w:ind w:firstLine="54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3.</w:t>
      </w:r>
      <w:r>
        <w:rPr>
          <w:rFonts w:ascii="Times New Roman" w:hAnsi="Times New Roman" w:cs="Times New Roman"/>
          <w:lang w:val="uk-UA"/>
        </w:rPr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постачання товару неналежної якості термін заміни товару Учасником </w:t>
      </w:r>
      <w:r>
        <w:rPr>
          <w:rFonts w:ascii="Times New Roman" w:hAnsi="Times New Roman" w:cs="Times New Roman"/>
          <w:u w:val="single"/>
          <w:lang w:val="uk-UA"/>
        </w:rPr>
        <w:t>становить 2 дні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Arial Unicode MS" w:hAnsi="Times New Roman" w:cs="Times New Roman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rFonts w:ascii="Times New Roman" w:hAnsi="Times New Roman" w:cs="Times New Roman"/>
          <w:lang w:val="uk-UA"/>
        </w:rPr>
        <w:t xml:space="preserve"> </w:t>
      </w:r>
      <w:r w:rsidRPr="00D1593E">
        <w:rPr>
          <w:rFonts w:ascii="Times New Roman" w:hAnsi="Times New Roman" w:cs="Times New Roman"/>
          <w:b/>
          <w:lang w:val="uk-UA"/>
        </w:rPr>
        <w:t xml:space="preserve">(в складі пропозиції </w:t>
      </w:r>
      <w:r w:rsidRPr="00D1593E">
        <w:rPr>
          <w:rFonts w:ascii="Times New Roman" w:hAnsi="Times New Roman" w:cs="Times New Roman"/>
          <w:b/>
          <w:u w:val="single"/>
          <w:lang w:val="uk-UA"/>
        </w:rPr>
        <w:t>подається відповідний гарантійний лист</w:t>
      </w:r>
      <w:r w:rsidRPr="00D1593E">
        <w:rPr>
          <w:rFonts w:ascii="Times New Roman" w:hAnsi="Times New Roman" w:cs="Times New Roman"/>
          <w:b/>
          <w:lang w:val="uk-UA"/>
        </w:rPr>
        <w:t>).</w:t>
      </w:r>
    </w:p>
    <w:p w:rsidR="00D1593E" w:rsidRDefault="00D1593E" w:rsidP="00D1593E">
      <w:pPr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lang w:val="uk-UA"/>
        </w:rPr>
        <w:t>4.</w:t>
      </w:r>
      <w:r>
        <w:rPr>
          <w:rFonts w:ascii="Times New Roman" w:hAnsi="Times New Roman" w:cs="Times New Roman"/>
          <w:lang w:val="uk-UA"/>
        </w:rPr>
        <w:t xml:space="preserve"> Учасник визначає ціну на товар, який він пропонує поставити за Договором, </w:t>
      </w:r>
      <w:r>
        <w:rPr>
          <w:rFonts w:ascii="Times New Roman" w:hAnsi="Times New Roman" w:cs="Times New Roman"/>
          <w:b/>
          <w:lang w:val="uk-UA"/>
        </w:rPr>
        <w:t>з урахуванням</w:t>
      </w:r>
      <w:r>
        <w:rPr>
          <w:rFonts w:ascii="Times New Roman" w:hAnsi="Times New Roman" w:cs="Times New Roman"/>
          <w:lang w:val="uk-UA"/>
        </w:rPr>
        <w:t xml:space="preserve"> податків і зборів, що сплачуються або мають бути сплачені, а також витрат на страхування,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транспортування, завантажування, розвантажування та інших витрат, визначених законодавством. </w:t>
      </w:r>
    </w:p>
    <w:p w:rsidR="00D1593E" w:rsidRDefault="00D1593E" w:rsidP="00D1593E">
      <w:pPr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5.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Для підтвердження відповідності технічним, якісним, кількісним та іншим вимогам до предмета закупівлі, встановленим замовником, учасник </w:t>
      </w: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надає наступні документи </w:t>
      </w:r>
      <w:r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під час поставки товару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D1593E" w:rsidRDefault="00D1593E" w:rsidP="00D1593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а)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копія діючих: сертифікатів відповідності на товар або посвідчення про якість або </w:t>
      </w:r>
      <w:r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>
        <w:rPr>
          <w:rFonts w:ascii="Times New Roman" w:hAnsi="Times New Roman" w:cs="Times New Roman"/>
          <w:color w:val="000000" w:themeColor="text1"/>
          <w:lang w:val="uk-UA"/>
        </w:rPr>
        <w:t>(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достатньо надати копії одного з вище вказаних документів</w:t>
      </w:r>
      <w:r>
        <w:rPr>
          <w:rFonts w:ascii="Times New Roman" w:hAnsi="Times New Roman" w:cs="Times New Roman"/>
          <w:color w:val="000000" w:themeColor="text1"/>
          <w:lang w:val="uk-UA"/>
        </w:rPr>
        <w:t>).</w:t>
      </w:r>
    </w:p>
    <w:p w:rsidR="00D1593E" w:rsidRPr="00934C13" w:rsidRDefault="00D1593E" w:rsidP="00D1593E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934C13">
        <w:rPr>
          <w:rFonts w:ascii="Times New Roman" w:hAnsi="Times New Roman" w:cs="Times New Roman"/>
          <w:b/>
          <w:u w:val="single"/>
          <w:lang w:val="uk-UA"/>
        </w:rPr>
        <w:t>Окрім того, Учасником у складі пропозиції надається: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 xml:space="preserve">Копію </w:t>
      </w:r>
      <w:proofErr w:type="spellStart"/>
      <w:r w:rsidRPr="00B660A5">
        <w:rPr>
          <w:rFonts w:ascii="Times New Roman" w:eastAsia="Times New Roman" w:hAnsi="Times New Roman" w:cs="Times New Roman"/>
          <w:lang w:val="uk-UA"/>
        </w:rPr>
        <w:t>ветеринарно</w:t>
      </w:r>
      <w:proofErr w:type="spellEnd"/>
      <w:r w:rsidRPr="00B660A5">
        <w:rPr>
          <w:rFonts w:ascii="Times New Roman" w:eastAsia="Times New Roman" w:hAnsi="Times New Roman" w:cs="Times New Roman"/>
          <w:lang w:val="uk-UA"/>
        </w:rPr>
        <w:t xml:space="preserve"> – санітарного паспорту на транспортний (ні) засіб (би), яким (и) планується постачання товару згідно предмету закупівлі;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B660A5">
        <w:rPr>
          <w:rFonts w:ascii="Times New Roman" w:eastAsia="Times New Roman" w:hAnsi="Times New Roman" w:cs="Times New Roman"/>
          <w:lang w:val="uk-UA"/>
        </w:rPr>
        <w:lastRenderedPageBreak/>
        <w:t>Скан-копію</w:t>
      </w:r>
      <w:proofErr w:type="spellEnd"/>
      <w:r w:rsidRPr="00B660A5">
        <w:rPr>
          <w:rFonts w:ascii="Times New Roman" w:eastAsia="Times New Roman" w:hAnsi="Times New Roman" w:cs="Times New Roman"/>
          <w:lang w:val="uk-UA"/>
        </w:rPr>
        <w:t xml:space="preserve"> оригіналу договору про виконання </w:t>
      </w:r>
      <w:proofErr w:type="spellStart"/>
      <w:r w:rsidRPr="00B660A5">
        <w:rPr>
          <w:rFonts w:ascii="Times New Roman" w:eastAsia="Times New Roman" w:hAnsi="Times New Roman" w:cs="Times New Roman"/>
          <w:lang w:val="uk-UA"/>
        </w:rPr>
        <w:t>дезинфекційних</w:t>
      </w:r>
      <w:proofErr w:type="spellEnd"/>
      <w:r w:rsidRPr="00B660A5">
        <w:rPr>
          <w:rFonts w:ascii="Times New Roman" w:eastAsia="Times New Roman" w:hAnsi="Times New Roman" w:cs="Times New Roman"/>
          <w:lang w:val="uk-UA"/>
        </w:rPr>
        <w:t xml:space="preserve"> заходів, який має бути чинним протягом усього строку поставки товару, що є предметом закупівлі, виданий на ім’я учасника або перевізника;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Оригінал або завірену копію довідки про підтвердження проходження гігієнічного навчання  з метою запобігання виникнення, поширення інфекційних та неінфекційних захворювань, у тому числі харчових, видану на ім'я учасника. Даний документ повинен містити дату проходження такого навчання.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Для підтвердження дотримання належних умов зберігання та перевезення товару, що є предметом закупівлі, а саме відповідного температурного режиму  у транспортному засобі та складському приміщенні Учасник надає у складі тендерної пропозиції:  свідоцтво або атестат або сертифікат про калібрування, видане на засіб вимірювання температури, видане органом із калібрування, акредитованим Національним агентством з акредитації України, на ім’я учасника.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Для підтвердження наявності допустимого рівня радіоактивного забруднення транспортного(них) засобу (</w:t>
      </w:r>
      <w:proofErr w:type="spellStart"/>
      <w:r w:rsidRPr="00B660A5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Pr="00B660A5">
        <w:rPr>
          <w:rFonts w:ascii="Times New Roman" w:eastAsia="Times New Roman" w:hAnsi="Times New Roman" w:cs="Times New Roman"/>
          <w:lang w:val="uk-UA"/>
        </w:rPr>
        <w:t>), яким (и) планується постачання товару згідно предмету закупівлі Учасник має надати Протокол радіаційного контролю транспортного засобу виданий на ім’я перевізника або учасника.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Завірену копію  або оригінал протоколу випробувань перевірки зразків, що були відібрані згідно наданих акт</w:t>
      </w:r>
      <w:r>
        <w:rPr>
          <w:rFonts w:ascii="Times New Roman" w:eastAsia="Times New Roman" w:hAnsi="Times New Roman" w:cs="Times New Roman"/>
          <w:lang w:val="uk-UA"/>
        </w:rPr>
        <w:t>ів відбору змивів з поверхонь (</w:t>
      </w:r>
      <w:r w:rsidRPr="00B660A5">
        <w:rPr>
          <w:rFonts w:ascii="Times New Roman" w:eastAsia="Times New Roman" w:hAnsi="Times New Roman" w:cs="Times New Roman"/>
          <w:lang w:val="uk-UA"/>
        </w:rPr>
        <w:t xml:space="preserve">змиви зі стінок транспортного засобу </w:t>
      </w:r>
      <w:r>
        <w:rPr>
          <w:rFonts w:ascii="Times New Roman" w:eastAsia="Times New Roman" w:hAnsi="Times New Roman" w:cs="Times New Roman"/>
          <w:lang w:val="uk-UA"/>
        </w:rPr>
        <w:t>та змиви з рук водія або водія-</w:t>
      </w:r>
      <w:r w:rsidRPr="00B660A5">
        <w:rPr>
          <w:rFonts w:ascii="Times New Roman" w:eastAsia="Times New Roman" w:hAnsi="Times New Roman" w:cs="Times New Roman"/>
          <w:lang w:val="uk-UA"/>
        </w:rPr>
        <w:t>експедитора), на  відповідність  вимогам  санітарно-мікробіологічному контролю об’єктів виробництва та реалізації, які підлягають ветеринарному нагляду за визначеними показниками за 2022 рік.</w:t>
      </w:r>
    </w:p>
    <w:p w:rsidR="00B660A5" w:rsidRPr="00B660A5" w:rsidRDefault="00B660A5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B660A5">
        <w:rPr>
          <w:rFonts w:ascii="Times New Roman" w:eastAsia="Times New Roman" w:hAnsi="Times New Roman" w:cs="Times New Roman"/>
          <w:lang w:val="uk-UA"/>
        </w:rPr>
        <w:t>Учасник повинен у складі пропозиції надати оригінал або завірену копію свідоцтва або атестата або сертифіката про калібрування на прилад вимірювання нітратів, видане органом із калібрування, акредитованим Національним агентством з акредитації України, на ім’я учасника або перевізника, та оригінал або завірену копію атестату про акредитацію органу із калібрування.</w:t>
      </w:r>
    </w:p>
    <w:p w:rsidR="00630F20" w:rsidRPr="00B660A5" w:rsidRDefault="00B660A5" w:rsidP="00B660A5">
      <w:pPr>
        <w:ind w:firstLine="426"/>
        <w:jc w:val="both"/>
        <w:rPr>
          <w:rFonts w:ascii="Times New Roman" w:hAnsi="Times New Roman"/>
          <w:i/>
        </w:rPr>
      </w:pPr>
      <w:r w:rsidRPr="00B660A5">
        <w:rPr>
          <w:rFonts w:ascii="Times New Roman" w:eastAsia="Times New Roman" w:hAnsi="Times New Roman" w:cs="Times New Roman"/>
          <w:i/>
          <w:lang w:val="uk-UA"/>
        </w:rPr>
        <w:t xml:space="preserve">Така вимога встановлена для підтвердження дотримання учасником, як і всіма операторами ринку, що здійснюють первинне виробництво, </w:t>
      </w:r>
      <w:proofErr w:type="spellStart"/>
      <w:r w:rsidRPr="00B660A5">
        <w:rPr>
          <w:rFonts w:ascii="Times New Roman" w:eastAsia="Times New Roman" w:hAnsi="Times New Roman" w:cs="Times New Roman"/>
          <w:i/>
          <w:lang w:val="uk-UA"/>
        </w:rPr>
        <w:t>виробництво</w:t>
      </w:r>
      <w:proofErr w:type="spellEnd"/>
      <w:r w:rsidRPr="00B660A5">
        <w:rPr>
          <w:rFonts w:ascii="Times New Roman" w:eastAsia="Times New Roman" w:hAnsi="Times New Roman" w:cs="Times New Roman"/>
          <w:i/>
          <w:lang w:val="uk-UA"/>
        </w:rPr>
        <w:t>, реалізацію та/або обіг харчових продуктів максимально допустимого рівня забруднюючих речовин у продуктах харчування; можливості проведення постійного контролю товарів, що є предметом закупівлі, на вміст нітратів відповідно до норм, визначених Наказом Міністерства охорони здоров'я №368 від 13.05.2013 року «Про затвердження державних гігієнічних правил і норм «Регламент максимальних рівнів окремих забруднюючих речовин у харчових продуктах» (зі змінами); та ст.45 Закону України "Про основні принципи та вимоги до безпечності та якості харчових продуктів", де зазначено, що все обладнання має бути каліброваним відповідно до законодавства.</w:t>
      </w:r>
    </w:p>
    <w:p w:rsidR="009C679D" w:rsidRPr="00630F20" w:rsidRDefault="00D96817" w:rsidP="00B660A5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bCs/>
          <w:lang w:val="uk-UA"/>
        </w:rPr>
      </w:pPr>
      <w:r w:rsidRPr="00630F20">
        <w:rPr>
          <w:rFonts w:ascii="Times New Roman" w:hAnsi="Times New Roman" w:cs="Times New Roman"/>
          <w:bCs/>
          <w:lang w:val="uk-UA"/>
        </w:rPr>
        <w:t xml:space="preserve"> </w:t>
      </w:r>
      <w:r w:rsidR="00630F20">
        <w:rPr>
          <w:rFonts w:ascii="Times New Roman" w:hAnsi="Times New Roman" w:cs="Times New Roman"/>
          <w:bCs/>
          <w:lang w:val="uk-UA"/>
        </w:rPr>
        <w:t>Г</w:t>
      </w:r>
      <w:r w:rsidRPr="00630F20">
        <w:rPr>
          <w:rFonts w:ascii="Times New Roman" w:hAnsi="Times New Roman" w:cs="Times New Roman"/>
          <w:bCs/>
          <w:lang w:val="uk-UA"/>
        </w:rPr>
        <w:t xml:space="preserve">арантійний лист </w:t>
      </w:r>
      <w:r w:rsidR="009C679D" w:rsidRPr="00630F20">
        <w:rPr>
          <w:rFonts w:ascii="Times New Roman" w:hAnsi="Times New Roman" w:cs="Times New Roman"/>
          <w:bCs/>
          <w:lang w:val="uk-UA"/>
        </w:rPr>
        <w:t xml:space="preserve">щодо можливості постачання товару та надання копій документів </w:t>
      </w:r>
      <w:r w:rsidRPr="00630F20">
        <w:rPr>
          <w:rFonts w:ascii="Times New Roman" w:hAnsi="Times New Roman" w:cs="Times New Roman"/>
          <w:bCs/>
          <w:lang w:val="uk-UA"/>
        </w:rPr>
        <w:t>під час поставок про якість продукції (</w:t>
      </w:r>
      <w:r w:rsidR="009C679D" w:rsidRPr="00630F20">
        <w:rPr>
          <w:rFonts w:ascii="Times New Roman" w:hAnsi="Times New Roman" w:cs="Times New Roman"/>
          <w:bCs/>
          <w:lang w:val="uk-UA"/>
        </w:rPr>
        <w:t xml:space="preserve"> у випадку перемоги</w:t>
      </w:r>
      <w:r w:rsidRPr="00630F20">
        <w:rPr>
          <w:rFonts w:ascii="Times New Roman" w:hAnsi="Times New Roman" w:cs="Times New Roman"/>
          <w:bCs/>
          <w:lang w:val="uk-UA"/>
        </w:rPr>
        <w:t>)</w:t>
      </w:r>
      <w:r w:rsidR="009C679D" w:rsidRPr="00630F20">
        <w:rPr>
          <w:rFonts w:ascii="Times New Roman" w:hAnsi="Times New Roman" w:cs="Times New Roman"/>
          <w:bCs/>
          <w:lang w:val="uk-UA"/>
        </w:rPr>
        <w:t>.</w:t>
      </w:r>
    </w:p>
    <w:p w:rsidR="00D1593E" w:rsidRDefault="00D1593E" w:rsidP="00D1593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6A6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ЯКІСНІ ВИМОГИ</w:t>
      </w:r>
      <w:r w:rsidRPr="00FF6A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1710"/>
        <w:gridCol w:w="1187"/>
        <w:gridCol w:w="1125"/>
        <w:gridCol w:w="3760"/>
        <w:gridCol w:w="1799"/>
      </w:tblGrid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№</w:t>
            </w:r>
          </w:p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Найменування товару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Технічні, якісні характеристики товару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Умови поставки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7E5A32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Морква нового врожаю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7E5A32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Цибуля перо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B259F6" w:rsidP="006B2579">
            <w:pPr>
              <w:snapToGrid w:val="0"/>
              <w:spacing w:before="2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</w:rPr>
              <w:t>Капуста</w:t>
            </w:r>
            <w:r w:rsidR="007E5A32">
              <w:rPr>
                <w:rFonts w:ascii="Times New Roman" w:hAnsi="Times New Roman" w:cs="Times New Roman"/>
                <w:lang w:val="uk-UA"/>
              </w:rPr>
              <w:t xml:space="preserve"> білокачанна нового врожаю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B259F6" w:rsidRDefault="007E5A32" w:rsidP="006B2579">
            <w:pPr>
              <w:snapToGrid w:val="0"/>
              <w:spacing w:before="280"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Буряк столовий нового врожаю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B259F6" w:rsidRDefault="00B259F6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Огірки свіжі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uk-UA" w:eastAsia="en-US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630F20" w:rsidRDefault="00B259F6" w:rsidP="00B259F6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E320C7">
              <w:rPr>
                <w:rFonts w:ascii="Times New Roman" w:hAnsi="Times New Roman" w:cs="Times New Roman"/>
              </w:rPr>
              <w:t>Помідори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7E5A32">
              <w:rPr>
                <w:rFonts w:ascii="Times New Roman" w:hAnsi="Times New Roman" w:cs="Times New Roman"/>
                <w:lang w:val="uk-UA"/>
              </w:rPr>
              <w:t>св</w:t>
            </w:r>
            <w:proofErr w:type="gramEnd"/>
            <w:r w:rsidR="007E5A32">
              <w:rPr>
                <w:rFonts w:ascii="Times New Roman" w:hAnsi="Times New Roman" w:cs="Times New Roman"/>
                <w:lang w:val="uk-UA"/>
              </w:rPr>
              <w:t>іжі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7E5A3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7E5A32" w:rsidP="00B259F6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Кабачки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</w:t>
            </w: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lastRenderedPageBreak/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E320C7">
              <w:rPr>
                <w:rFonts w:ascii="Times New Roman" w:hAnsi="Times New Roman" w:cs="Times New Roman"/>
              </w:rPr>
              <w:t>Перець</w:t>
            </w:r>
            <w:proofErr w:type="spellEnd"/>
            <w:r w:rsidRPr="00E32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C7">
              <w:rPr>
                <w:rFonts w:ascii="Times New Roman" w:hAnsi="Times New Roman" w:cs="Times New Roman"/>
              </w:rPr>
              <w:t>болгарський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7E5A32" w:rsidRDefault="007E5A32" w:rsidP="00B259F6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E5A32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B259F6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59F6" w:rsidRP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Цвітна капуста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259F6" w:rsidRPr="00630F20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59F6" w:rsidRPr="00E320C7" w:rsidRDefault="00B259F6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9F6" w:rsidRPr="00E320C7" w:rsidRDefault="00B259F6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 пекінська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Кавун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160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Диня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Аґрус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Вишня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7E5A32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Без перевищеного вмісту хімічних речовин, достатньої зрілості, без </w:t>
            </w: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Спеціалізованим транспортом </w:t>
            </w: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lastRenderedPageBreak/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Сливи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Смородина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Малина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Полуниця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Абрикоси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Спеціалізованим транспортом постачальника</w:t>
            </w:r>
          </w:p>
        </w:tc>
      </w:tr>
      <w:tr w:rsidR="007E5A32" w:rsidRPr="00E320C7" w:rsidTr="006B2579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en-US"/>
              </w:rPr>
              <w:t>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Черешня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5A32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5A32" w:rsidRPr="00E320C7" w:rsidRDefault="007E5A32" w:rsidP="006B257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кг.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</w:t>
            </w: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упакований у ящики.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5A32" w:rsidRPr="00E320C7" w:rsidRDefault="007E5A32" w:rsidP="006B25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320C7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Спеціалізованим транспортом постачальника</w:t>
            </w:r>
          </w:p>
        </w:tc>
      </w:tr>
    </w:tbl>
    <w:p w:rsidR="00D1593E" w:rsidRDefault="00D1593E" w:rsidP="00D1593E">
      <w:pPr>
        <w:spacing w:line="264" w:lineRule="auto"/>
        <w:jc w:val="both"/>
        <w:rPr>
          <w:b/>
          <w:bCs/>
          <w:i/>
          <w:sz w:val="20"/>
          <w:szCs w:val="20"/>
          <w:u w:val="single"/>
          <w:lang w:val="uk-UA"/>
        </w:rPr>
      </w:pPr>
      <w:bookmarkStart w:id="0" w:name="_GoBack"/>
      <w:bookmarkEnd w:id="0"/>
    </w:p>
    <w:p w:rsidR="00D1593E" w:rsidRPr="00934C13" w:rsidRDefault="00D1593E" w:rsidP="00D1593E">
      <w:pPr>
        <w:spacing w:line="264" w:lineRule="auto"/>
        <w:jc w:val="both"/>
        <w:rPr>
          <w:b/>
          <w:bCs/>
          <w:i/>
          <w:sz w:val="20"/>
          <w:szCs w:val="20"/>
          <w:lang w:val="uk-UA"/>
        </w:rPr>
      </w:pPr>
      <w:r w:rsidRPr="00934C13">
        <w:rPr>
          <w:b/>
          <w:bCs/>
          <w:i/>
          <w:sz w:val="20"/>
          <w:szCs w:val="20"/>
          <w:u w:val="single"/>
          <w:lang w:val="uk-UA"/>
        </w:rPr>
        <w:t>Примітка:</w:t>
      </w:r>
    </w:p>
    <w:p w:rsidR="00D1593E" w:rsidRPr="00934C13" w:rsidRDefault="00D1593E" w:rsidP="00D1593E">
      <w:pPr>
        <w:spacing w:line="264" w:lineRule="auto"/>
        <w:jc w:val="both"/>
        <w:rPr>
          <w:rFonts w:cs="Courier New"/>
          <w:b/>
          <w:i/>
          <w:lang w:val="uk-UA"/>
        </w:rPr>
      </w:pPr>
      <w:r w:rsidRPr="00934C13">
        <w:rPr>
          <w:b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934C13">
        <w:rPr>
          <w:rFonts w:cs="Courier New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D1593E" w:rsidRDefault="00D1593E" w:rsidP="00D1593E">
      <w:pPr>
        <w:rPr>
          <w:rFonts w:ascii="Times New Roman" w:hAnsi="Times New Roman" w:cs="Times New Roman"/>
          <w:b/>
          <w:lang w:val="uk-UA"/>
        </w:rPr>
      </w:pPr>
    </w:p>
    <w:p w:rsidR="003B17B2" w:rsidRPr="001D15D8" w:rsidRDefault="003B17B2" w:rsidP="00D1593E">
      <w:pPr>
        <w:spacing w:line="264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B17B2" w:rsidRPr="001D15D8" w:rsidSect="002E3A6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7AF"/>
    <w:multiLevelType w:val="multilevel"/>
    <w:tmpl w:val="A942E2EC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65FFB"/>
    <w:multiLevelType w:val="hybridMultilevel"/>
    <w:tmpl w:val="D9DA3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2424A"/>
    <w:rsid w:val="00035EE9"/>
    <w:rsid w:val="00056DB2"/>
    <w:rsid w:val="000759C2"/>
    <w:rsid w:val="001708FD"/>
    <w:rsid w:val="001D15D8"/>
    <w:rsid w:val="001D16B5"/>
    <w:rsid w:val="00220F3B"/>
    <w:rsid w:val="0023678D"/>
    <w:rsid w:val="00260EA5"/>
    <w:rsid w:val="00277B0A"/>
    <w:rsid w:val="002B3DB9"/>
    <w:rsid w:val="002E3A6D"/>
    <w:rsid w:val="00335254"/>
    <w:rsid w:val="003B17B2"/>
    <w:rsid w:val="00406609"/>
    <w:rsid w:val="0044257E"/>
    <w:rsid w:val="00442B23"/>
    <w:rsid w:val="0044773B"/>
    <w:rsid w:val="004F7ED4"/>
    <w:rsid w:val="00567A6F"/>
    <w:rsid w:val="00567B61"/>
    <w:rsid w:val="00630F20"/>
    <w:rsid w:val="00703BD2"/>
    <w:rsid w:val="00786DCC"/>
    <w:rsid w:val="007E5A32"/>
    <w:rsid w:val="008050FF"/>
    <w:rsid w:val="00841634"/>
    <w:rsid w:val="00883E38"/>
    <w:rsid w:val="00887268"/>
    <w:rsid w:val="008A6672"/>
    <w:rsid w:val="009052F7"/>
    <w:rsid w:val="00911011"/>
    <w:rsid w:val="0091447E"/>
    <w:rsid w:val="009421C2"/>
    <w:rsid w:val="0096617B"/>
    <w:rsid w:val="009847A2"/>
    <w:rsid w:val="009B2BA0"/>
    <w:rsid w:val="009C679D"/>
    <w:rsid w:val="00A337D9"/>
    <w:rsid w:val="00A36D42"/>
    <w:rsid w:val="00AC12AB"/>
    <w:rsid w:val="00B14A9B"/>
    <w:rsid w:val="00B14EA7"/>
    <w:rsid w:val="00B259F6"/>
    <w:rsid w:val="00B41A19"/>
    <w:rsid w:val="00B41A3F"/>
    <w:rsid w:val="00B660A5"/>
    <w:rsid w:val="00C139B8"/>
    <w:rsid w:val="00C855C2"/>
    <w:rsid w:val="00C96101"/>
    <w:rsid w:val="00C978EA"/>
    <w:rsid w:val="00CC198A"/>
    <w:rsid w:val="00CF2480"/>
    <w:rsid w:val="00D1593E"/>
    <w:rsid w:val="00D36F4D"/>
    <w:rsid w:val="00D96817"/>
    <w:rsid w:val="00DC3299"/>
    <w:rsid w:val="00DC4426"/>
    <w:rsid w:val="00DC7279"/>
    <w:rsid w:val="00DF7E60"/>
    <w:rsid w:val="00E40286"/>
    <w:rsid w:val="00E44076"/>
    <w:rsid w:val="00E44E6D"/>
    <w:rsid w:val="00E45811"/>
    <w:rsid w:val="00E46337"/>
    <w:rsid w:val="00E5325D"/>
    <w:rsid w:val="00E639D5"/>
    <w:rsid w:val="00E7110D"/>
    <w:rsid w:val="00E85E4D"/>
    <w:rsid w:val="00ED47D6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7700</Words>
  <Characters>4389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Помічник</cp:lastModifiedBy>
  <cp:revision>3</cp:revision>
  <dcterms:created xsi:type="dcterms:W3CDTF">2024-02-26T10:19:00Z</dcterms:created>
  <dcterms:modified xsi:type="dcterms:W3CDTF">2024-02-26T10:59:00Z</dcterms:modified>
</cp:coreProperties>
</file>