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ar-SA"/>
        </w:rPr>
        <w:t>Додаток № 2</w:t>
      </w:r>
    </w:p>
    <w:p>
      <w:pPr>
        <w:pStyle w:val="Normal"/>
        <w:jc w:val="right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до тендерної документації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закупівлі.</w:t>
      </w:r>
    </w:p>
    <w:p>
      <w:pPr>
        <w:pStyle w:val="Normal"/>
        <w:widowControl w:val="false"/>
        <w:tabs>
          <w:tab w:val="clear" w:pos="708"/>
          <w:tab w:val="center" w:pos="-2127" w:leader="none"/>
          <w:tab w:val="center" w:pos="7655" w:leader="none"/>
        </w:tabs>
        <w:ind w:right="657" w:firstLine="34"/>
        <w:jc w:val="center"/>
        <w:rPr>
          <w:rFonts w:ascii="Times New Roman" w:hAnsi="Times New Roman"/>
        </w:rPr>
      </w:pPr>
      <w:hyperlink r:id="rId2">
        <w:r>
          <w:rPr>
            <w:rFonts w:eastAsia="Times New Roman" w:cs="Times New Roman"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shd w:fill="auto" w:val="clear"/>
          </w:rPr>
          <w:t>Код за ДК 021:2015 (CPV): 85140000-2 - Послуги у сфері охорони здоров’я різні (85145000-7 - Послуги медичних лабораторій)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"/>
        <w:gridCol w:w="2698"/>
        <w:gridCol w:w="3861"/>
        <w:gridCol w:w="1380"/>
        <w:gridCol w:w="1563"/>
      </w:tblGrid>
      <w:tr>
        <w:trPr>
          <w:trHeight w:val="354" w:hRule="atLeast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Біохімічний скринінг з розрахунком індивідуального ризику жінки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щодо хромосомних аномалій та певних вад розвитку плоду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542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val="ru-RU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Деталізований CPV код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Одиниця виміру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</w:tr>
      <w:tr>
        <w:trPr>
          <w:trHeight w:val="1924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color w:val="auto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Обстеження на перинатальні інфекції (токсоплазмоз, червоничка, цитомегаловірусна інфекція, герпес, хламідіоз) антитіла IgM та антитіла IgG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color w:val="auto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eastAsia="Batang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  <w:t>70</w:t>
            </w:r>
          </w:p>
        </w:tc>
      </w:tr>
      <w:tr>
        <w:trPr>
          <w:trHeight w:val="729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firstLine="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 xml:space="preserve">Обстеження на перинатальні інфекції (токсоплазмоз, червоничка, цитомегаловірусна інфекція, герпес, хламідіоз) антитіла IgM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  <w:t>130</w:t>
            </w:r>
          </w:p>
        </w:tc>
      </w:tr>
      <w:tr>
        <w:trPr>
          <w:trHeight w:val="729" w:hRule="atLeast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3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color w:val="auto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eastAsia="Batang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  <w:lang w:val="uk-UA"/>
              </w:rPr>
              <w:t>Тиреотропний гормон (ТТГ)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  <w:t>20</w:t>
            </w:r>
          </w:p>
        </w:tc>
      </w:tr>
      <w:tr>
        <w:trPr>
          <w:trHeight w:val="729" w:hRule="atLeast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4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85145000-7 - Послуги медичних лабораторій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-2127" w:leader="none"/>
                <w:tab w:val="center" w:pos="7655" w:leader="none"/>
              </w:tabs>
              <w:ind w:right="657" w:hanging="0"/>
              <w:rPr>
                <w:rFonts w:ascii="Times New Roman" w:hAnsi="Times New Roman" w:eastAsia="Batang" w:cs="Times New Roman"/>
                <w:bCs/>
                <w:color w:val="auto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eastAsia="Batang"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  <w:lang w:val="uk-UA"/>
              </w:rPr>
              <w:t>Тироксин вільний (Т4В)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послуга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uk-UA" w:eastAsia="ru-RU" w:bidi="ar-SA"/>
              </w:rPr>
              <w:t>20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eastAsia="Batang" w:cs="Times New Roman"/>
          <w:b/>
          <w:b/>
          <w:sz w:val="24"/>
          <w:szCs w:val="24"/>
        </w:rPr>
      </w:pPr>
      <w:r>
        <w:rPr>
          <w:rFonts w:eastAsia="Batang" w:cs="Times New Roman" w:ascii="Times New Roman" w:hAnsi="Times New Roman"/>
          <w:b/>
          <w:sz w:val="24"/>
          <w:szCs w:val="24"/>
        </w:rPr>
      </w:r>
    </w:p>
    <w:p>
      <w:pPr>
        <w:pStyle w:val="Normal"/>
        <w:textAlignment w:val="top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textAlignment w:val="top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Інформація про технічні та якісні характеристики предмету закупівлі</w:t>
      </w:r>
    </w:p>
    <w:tbl>
      <w:tblPr>
        <w:tblStyle w:val="10"/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4745"/>
        <w:gridCol w:w="4750"/>
      </w:tblGrid>
      <w:tr>
        <w:trPr/>
        <w:tc>
          <w:tcPr>
            <w:tcW w:w="4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4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Вимоги</w:t>
            </w:r>
          </w:p>
        </w:tc>
        <w:tc>
          <w:tcPr>
            <w:tcW w:w="47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Відповідність вимогам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top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(зазначити відповідність)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Ліцензія МОЗ України на «Медичну практику», при обов’язковій необхідності для проведення таких досліджень.</w:t>
            </w:r>
          </w:p>
        </w:tc>
        <w:tc>
          <w:tcPr>
            <w:tcW w:w="47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7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Графік роботи закладу;</w:t>
            </w:r>
          </w:p>
        </w:tc>
        <w:tc>
          <w:tcPr>
            <w:tcW w:w="47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7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Контактні дані закладу, де буде здійснюватися відповідні обстеження.</w:t>
            </w:r>
          </w:p>
        </w:tc>
        <w:tc>
          <w:tcPr>
            <w:tcW w:w="47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7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Розміщення лабораторії / філіалу / точки забору в м. Городенка, в якому проводяться   лабораторні послуги має бути не більше ніж 3,0-5,0 км від місцезнаходження Замовника, тобто м. Городенка, вул. Шептицького, 24-е.</w:t>
            </w:r>
          </w:p>
        </w:tc>
        <w:tc>
          <w:tcPr>
            <w:tcW w:w="47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tLeast" w:line="220" w:before="60" w:after="60"/>
              <w:ind w:right="-23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b/>
          <w:spacing w:val="-8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 Надати лист – підтвердження, що Виконавець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гарантує належну якість послуги, згідно стандартам та вимогам, затвердженим  Міністерством охорони здоров’я України 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2.</w:t>
        <w:tab/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Надати лист – погодження, що у Виконавця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буде можливість надавати послугу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(проводити забір біологічного матеріалу,</w:t>
      </w:r>
      <w:r>
        <w:rPr>
          <w:rFonts w:eastAsia="Lucida Sans Unicode" w:cs="Times New Roman" w:ascii="Times New Roman" w:hAnsi="Times New Roman"/>
          <w:i/>
          <w:kern w:val="2"/>
          <w:sz w:val="24"/>
          <w:szCs w:val="24"/>
          <w:lang w:bidi="hi-IN"/>
        </w:rPr>
        <w:t xml:space="preserve"> в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артість пробірки для крові, одноразові голки, спиртові серветки, антисептичний засіб тощо, входить до вартості забору)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у своїй лабораторії / філіалі / точки забору в м. Городенка, такі послуги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bidi="hi-IN"/>
        </w:rPr>
        <w:t xml:space="preserve"> включені до пакету Програми медичних гарантій НСЗУ «Ведення вагітності в амбулаторних умовах»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Надати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копію 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відповідних сертифікатів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*, що підтверджують виконання послуг відповідно до стандартів якості та іншим нормативним документам, затвердженим МОЗ України та чинним законодавством України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копію чинної ●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ліцензії*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 медичну практику, а саме: клінічна лабораторна діагностика 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9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копію ●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свідоцтва про державну реєстрацію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 реагенти та тест-системи*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які застосовуються при проведені лабораторних досліджень та підлягають державній реєстрації в Україні та сертифікати якості що видаються виробником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6.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Надати гарантійний лист, що матеріали для надання послуг, що є предметом даної закупівлі, дозволені до використання в медичній практиці МОЗ України </w:t>
      </w:r>
      <w:r>
        <w:rPr>
          <w:rFonts w:eastAsia="Times New Roman" w:cs="Times New Roman" w:ascii="Times New Roman" w:hAnsi="Times New Roman"/>
          <w:b/>
          <w:i/>
          <w:iCs/>
          <w:spacing w:val="-9"/>
          <w:sz w:val="24"/>
          <w:szCs w:val="24"/>
        </w:rPr>
        <w:t>(надають всі учасники процедури закупівлі)</w:t>
      </w:r>
      <w:r>
        <w:rPr>
          <w:rFonts w:eastAsia="Times New Roman" w:cs="Times New Roman" w:ascii="Times New Roman" w:hAnsi="Times New Roman"/>
          <w:b/>
          <w:spacing w:val="-9"/>
          <w:sz w:val="24"/>
          <w:szCs w:val="24"/>
        </w:rPr>
        <w:t>;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</w:tabs>
        <w:suppressAutoHyphens w:val="true"/>
        <w:jc w:val="both"/>
        <w:rPr>
          <w:rFonts w:ascii="Times New Roman CYR" w:hAnsi="Times New Roman CYR" w:eastAsia="Times New Roman" w:cs="Times New Roman CYR"/>
          <w:b/>
          <w:b/>
          <w:sz w:val="24"/>
          <w:szCs w:val="24"/>
          <w:lang w:eastAsia="ar-SA"/>
        </w:rPr>
      </w:pPr>
      <w:r>
        <w:rPr>
          <w:rFonts w:eastAsia="Times New Roman" w:cs="Times New Roman CYR" w:ascii="Times New Roman CYR" w:hAnsi="Times New Roman CYR"/>
          <w:b/>
          <w:sz w:val="24"/>
          <w:szCs w:val="24"/>
          <w:lang w:eastAsia="ar-SA"/>
        </w:rPr>
        <w:t xml:space="preserve">         </w:t>
      </w:r>
      <w:r>
        <w:rPr>
          <w:rFonts w:eastAsia="Times New Roman" w:cs="Times New Roman CYR" w:ascii="Times New Roman CYR" w:hAnsi="Times New Roman CYR"/>
          <w:b/>
          <w:sz w:val="24"/>
          <w:szCs w:val="24"/>
          <w:lang w:eastAsia="ar-SA"/>
        </w:rPr>
        <w:t>7</w:t>
      </w:r>
      <w:r>
        <w:rPr>
          <w:rFonts w:eastAsia="Times New Roman" w:cs="Times New Roman CYR" w:ascii="Times New Roman CYR" w:hAnsi="Times New Roman CYR"/>
          <w:b/>
          <w:sz w:val="24"/>
          <w:szCs w:val="24"/>
          <w:lang w:eastAsia="ar-SA"/>
        </w:rPr>
        <w:t>. Надати лист інформацію щодо порядку проведення лабораторних досліджень, а саме: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иконання лабораторних досліджень буде проводитись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</w:rPr>
        <w:t>протягом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uk-UA" w:eastAsia="ru-RU" w:bidi="ar-SA"/>
        </w:rPr>
        <w:t>двох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</w:rPr>
        <w:t xml:space="preserve"> робочих днів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 з моменту отримання лабораторією біологічного матеріалу.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Результати лабораторних досліджень будуть надаватися в електронному варіанті протягом 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>двох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робочих днів з моменту отримання біологічного матеріалу. 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Видача результатів лабораторних досліджень у паперовому вигляді буде здійснюватися протягом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uk-UA" w:eastAsia="ru-RU" w:bidi="ar-SA"/>
        </w:rPr>
        <w:t>двох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робочих днів з моменту отримання біологічного матеріалу за рахунок Виконавця.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Виконавець несе відповідальність за достовірність проведених досліджень у разі, якщо результати виявляться недостовірними Виконавець зобов'язується провести повторне дослідження за свій рахунок.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pacing w:val="-8"/>
          <w:sz w:val="24"/>
          <w:szCs w:val="24"/>
        </w:rPr>
        <w:t>9.</w:t>
      </w:r>
      <w:r>
        <w:rPr>
          <w:rFonts w:eastAsia="Times New Roman" w:cs="Times New Roman" w:ascii="Times New Roman" w:hAnsi="Times New Roman"/>
          <w:spacing w:val="-8"/>
          <w:sz w:val="24"/>
          <w:szCs w:val="24"/>
        </w:rPr>
        <w:t xml:space="preserve">   Надати лист – підтвердження, що Виконавець має </w:t>
      </w:r>
      <w:r>
        <w:rPr>
          <w:rFonts w:eastAsia="Arial" w:cs="Times New Roman" w:ascii="Times New Roman" w:hAnsi="Times New Roman"/>
          <w:kern w:val="2"/>
          <w:sz w:val="24"/>
          <w:szCs w:val="24"/>
          <w:lang w:bidi="hi-IN"/>
        </w:rPr>
        <w:t>реєстрацію в електронній системі охорони здоров’я eHealth.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</w:tabs>
        <w:suppressAutoHyphens w:val="true"/>
        <w:jc w:val="both"/>
        <w:rPr>
          <w:rFonts w:ascii="Times New Roman CYR" w:hAnsi="Times New Roman CYR" w:eastAsia="Times New Roman" w:cs="Times New Roman CYR"/>
          <w:sz w:val="24"/>
          <w:szCs w:val="24"/>
          <w:u w:val="single"/>
          <w:lang w:eastAsia="ar-SA"/>
        </w:rPr>
      </w:pPr>
      <w:r>
        <w:rPr>
          <w:rFonts w:eastAsia="Times New Roman" w:cs="Times New Roman CYR" w:ascii="Times New Roman CYR" w:hAnsi="Times New Roman CYR"/>
          <w:sz w:val="24"/>
          <w:szCs w:val="24"/>
          <w:u w:val="single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993" w:leader="none"/>
        </w:tabs>
        <w:suppressAutoHyphens w:val="true"/>
        <w:jc w:val="both"/>
        <w:rPr>
          <w:rFonts w:ascii="Times New Roman CYR" w:hAnsi="Times New Roman CYR" w:eastAsia="Times New Roman" w:cs="Times New Roman CYR"/>
          <w:sz w:val="24"/>
          <w:szCs w:val="24"/>
          <w:u w:val="single"/>
          <w:lang w:eastAsia="ar-SA"/>
        </w:rPr>
      </w:pPr>
      <w:r>
        <w:rPr>
          <w:rFonts w:eastAsia="Times New Roman" w:cs="Times New Roman CYR" w:ascii="Times New Roman CYR" w:hAnsi="Times New Roman CYR"/>
          <w:sz w:val="24"/>
          <w:szCs w:val="24"/>
          <w:u w:val="single"/>
          <w:lang w:eastAsia="ar-SA"/>
        </w:rPr>
      </w:r>
    </w:p>
    <w:p>
      <w:pPr>
        <w:pStyle w:val="1"/>
        <w:widowControl w:val="false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0a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uiPriority w:val="99"/>
    <w:qFormat/>
    <w:rsid w:val="00770a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uk-UA" w:eastAsia="ru-RU" w:bidi="ar-SA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70a15"/>
    <w:pPr>
      <w:spacing w:after="0" w:line="240" w:lineRule="auto"/>
    </w:pPr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11-22-014224-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LibreOffice/7.1.3.2$Windows_X86_64 LibreOffice_project/47f78053abe362b9384784d31a6e56f8511eb1c1</Application>
  <AppVersion>15.0000</AppVersion>
  <Pages>2</Pages>
  <Words>490</Words>
  <Characters>3379</Characters>
  <CharactersWithSpaces>3922</CharactersWithSpaces>
  <Paragraphs>57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2023-09-30T08:20:00Z</dcterms:created>
  <dc:creator>RePack by Diakov</dc:creator>
  <dc:description/>
  <dc:language>uk-UA</dc:language>
  <cp:lastModifiedBy/>
  <dcterms:modified xsi:type="dcterms:W3CDTF">2024-02-13T15:40:48Z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