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Style w:val="Style41"/>
          <w:rFonts w:eastAsia="Times New Roman" w:ascii="Times New Roman" w:hAnsi="Times New Roman"/>
          <w:b/>
          <w:sz w:val="22"/>
          <w:szCs w:val="22"/>
        </w:rPr>
        <w:t>д</w:t>
      </w:r>
      <w:r>
        <w:rPr>
          <w:rStyle w:val="Style41"/>
          <w:rFonts w:ascii="Times New Roman" w:hAnsi="Times New Roman"/>
          <w:b/>
          <w:sz w:val="22"/>
          <w:szCs w:val="22"/>
        </w:rPr>
        <w:t>одаток №3</w:t>
      </w:r>
    </w:p>
    <w:p>
      <w:pPr>
        <w:pStyle w:val="Normal"/>
        <w:jc w:val="right"/>
        <w:rPr>
          <w:sz w:val="22"/>
          <w:szCs w:val="22"/>
        </w:rPr>
      </w:pPr>
      <w:r>
        <w:rPr>
          <w:rFonts w:ascii="Times New Roman" w:hAnsi="Times New Roman"/>
          <w:b/>
          <w:sz w:val="22"/>
          <w:szCs w:val="22"/>
        </w:rPr>
        <w:t>до тендерної документації</w:t>
      </w:r>
    </w:p>
    <w:p>
      <w:pPr>
        <w:pStyle w:val="Normal"/>
        <w:jc w:val="center"/>
        <w:rPr>
          <w:sz w:val="28"/>
          <w:szCs w:val="28"/>
        </w:rPr>
      </w:pPr>
      <w:r>
        <w:rPr>
          <w:rFonts w:ascii="Times New Roman" w:hAnsi="Times New Roman"/>
          <w:b/>
          <w:bCs/>
          <w:sz w:val="28"/>
          <w:szCs w:val="28"/>
        </w:rPr>
        <w:t>ПРОЄКТ ДОГОВОРУ</w:t>
      </w:r>
    </w:p>
    <w:p>
      <w:pPr>
        <w:pStyle w:val="Normal"/>
        <w:widowControl w:val="false"/>
        <w:jc w:val="center"/>
        <w:rPr>
          <w:sz w:val="28"/>
          <w:szCs w:val="28"/>
        </w:rPr>
      </w:pPr>
      <w:r>
        <w:rPr>
          <w:rFonts w:eastAsia="Times New Roman" w:ascii="Times New Roman" w:hAnsi="Times New Roman"/>
          <w:b/>
          <w:sz w:val="28"/>
          <w:szCs w:val="28"/>
        </w:rPr>
        <w:t>ПРО НАДАННЯ МЕДИЧНИХ ПОСЛУГ</w:t>
      </w:r>
    </w:p>
    <w:p>
      <w:pPr>
        <w:pStyle w:val="Normal"/>
        <w:widowControl w:val="false"/>
        <w:jc w:val="center"/>
        <w:rPr>
          <w:rFonts w:ascii="Times New Roman" w:hAnsi="Times New Roman" w:eastAsia="Times New Roman"/>
          <w:b/>
          <w:b/>
          <w:sz w:val="24"/>
          <w:szCs w:val="24"/>
        </w:rPr>
      </w:pPr>
      <w:r>
        <w:rPr>
          <w:rFonts w:eastAsia="Times New Roman" w:ascii="Times New Roman" w:hAnsi="Times New Roman"/>
          <w:b/>
          <w:sz w:val="24"/>
          <w:szCs w:val="24"/>
        </w:rPr>
      </w:r>
    </w:p>
    <w:tbl>
      <w:tblPr>
        <w:tblW w:w="1020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928"/>
        <w:gridCol w:w="5274"/>
      </w:tblGrid>
      <w:tr>
        <w:trPr>
          <w:trHeight w:val="265" w:hRule="atLeast"/>
        </w:trPr>
        <w:tc>
          <w:tcPr>
            <w:tcW w:w="4928" w:type="dxa"/>
            <w:tcBorders/>
          </w:tcPr>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t>м. Городенка</w:t>
            </w:r>
          </w:p>
        </w:tc>
        <w:tc>
          <w:tcPr>
            <w:tcW w:w="5274" w:type="dxa"/>
            <w:tcBorders/>
          </w:tcPr>
          <w:p>
            <w:pPr>
              <w:pStyle w:val="Normal"/>
              <w:widowControl w:val="false"/>
              <w:jc w:val="right"/>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"___" ____________ 2024 р.</w:t>
            </w:r>
          </w:p>
        </w:tc>
      </w:tr>
    </w:tbl>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r>
    </w:p>
    <w:p>
      <w:pPr>
        <w:pStyle w:val="Normal"/>
        <w:ind w:firstLine="709"/>
        <w:jc w:val="both"/>
        <w:rPr>
          <w:rFonts w:ascii="Times New Roman" w:hAnsi="Times New Roman"/>
          <w:b/>
          <w:b/>
          <w:bCs/>
          <w:color w:val="333333"/>
          <w:sz w:val="24"/>
          <w:szCs w:val="24"/>
          <w:shd w:fill="FFFFFF" w:val="clear"/>
        </w:rPr>
      </w:pPr>
      <w:r>
        <w:rPr>
          <w:rFonts w:ascii="Times New Roman" w:hAnsi="Times New Roman"/>
          <w:b/>
          <w:sz w:val="24"/>
          <w:szCs w:val="24"/>
        </w:rPr>
        <w:t xml:space="preserve">КОМУНАЛЬНЕ НЕКОМЕРЦІЙНЕ ПІДПРИЄМСТВО «ГОРОДЕНКІВСЬКА БАГАТОПРОФІЛЬНА ЛІКАРНЯ ІНТЕНСИВНОГО ЛІКУВАННЯ» ГОРОДЕНКІВСЬКОЇ МІСЬКОЇ РАДИ </w:t>
      </w:r>
      <w:r>
        <w:rPr>
          <w:rFonts w:ascii="Times New Roman" w:hAnsi="Times New Roman"/>
          <w:sz w:val="24"/>
          <w:szCs w:val="24"/>
        </w:rPr>
        <w:t xml:space="preserve">надалі іменується </w:t>
      </w:r>
      <w:r>
        <w:rPr>
          <w:rFonts w:ascii="Times New Roman" w:hAnsi="Times New Roman"/>
          <w:b/>
          <w:sz w:val="24"/>
          <w:szCs w:val="24"/>
        </w:rPr>
        <w:t>«Замовник»,</w:t>
      </w:r>
      <w:r>
        <w:rPr>
          <w:rFonts w:ascii="Times New Roman" w:hAnsi="Times New Roman"/>
          <w:sz w:val="24"/>
          <w:szCs w:val="24"/>
        </w:rPr>
        <w:t xml:space="preserve"> в особі директора Косовець Олександри Володимирівни, що діє на підставі Статуту</w:t>
      </w:r>
      <w:r>
        <w:rPr>
          <w:rFonts w:ascii="Times New Roman" w:hAnsi="Times New Roman"/>
          <w:b/>
          <w:bCs/>
          <w:color w:val="333333"/>
          <w:sz w:val="24"/>
          <w:szCs w:val="24"/>
          <w:shd w:fill="FFFFFF" w:val="clear"/>
        </w:rPr>
        <w:t xml:space="preserve"> </w:t>
      </w:r>
      <w:r>
        <w:rPr>
          <w:rFonts w:ascii="Times New Roman" w:hAnsi="Times New Roman"/>
          <w:sz w:val="24"/>
          <w:szCs w:val="24"/>
        </w:rPr>
        <w:t>з однієї сторони та</w:t>
      </w:r>
      <w:r>
        <w:rPr>
          <w:rFonts w:ascii="Times New Roman" w:hAnsi="Times New Roman"/>
          <w:b/>
          <w:bCs/>
          <w:color w:val="333333"/>
          <w:sz w:val="24"/>
          <w:szCs w:val="24"/>
          <w:shd w:fill="FFFFFF" w:val="clear"/>
        </w:rPr>
        <w:t xml:space="preserve"> _______________________________</w:t>
      </w:r>
      <w:r>
        <w:rPr>
          <w:rFonts w:ascii="Times New Roman" w:hAnsi="Times New Roman"/>
          <w:b/>
          <w:sz w:val="24"/>
          <w:szCs w:val="24"/>
        </w:rPr>
        <w:t>,</w:t>
      </w:r>
      <w:r>
        <w:rPr>
          <w:rFonts w:ascii="Times New Roman" w:hAnsi="Times New Roman"/>
          <w:sz w:val="24"/>
          <w:szCs w:val="24"/>
        </w:rPr>
        <w:t xml:space="preserve"> в особі ________________________</w:t>
      </w:r>
      <w:r>
        <w:rPr>
          <w:rFonts w:ascii="Times New Roman" w:hAnsi="Times New Roman"/>
          <w:b/>
          <w:sz w:val="24"/>
          <w:szCs w:val="24"/>
        </w:rPr>
        <w:t xml:space="preserve">, </w:t>
      </w:r>
      <w:r>
        <w:rPr>
          <w:rFonts w:ascii="Times New Roman" w:hAnsi="Times New Roman"/>
          <w:color w:val="000000"/>
          <w:spacing w:val="3"/>
          <w:w w:val="101"/>
          <w:sz w:val="24"/>
          <w:szCs w:val="24"/>
        </w:rPr>
        <w:t>що діє на</w:t>
      </w:r>
      <w:r>
        <w:rPr>
          <w:rFonts w:ascii="Times New Roman" w:hAnsi="Times New Roman"/>
          <w:sz w:val="24"/>
          <w:szCs w:val="24"/>
        </w:rPr>
        <w:t xml:space="preserve"> </w:t>
      </w:r>
      <w:r>
        <w:rPr>
          <w:rFonts w:ascii="Times New Roman" w:hAnsi="Times New Roman"/>
          <w:color w:val="000000"/>
          <w:spacing w:val="-5"/>
          <w:w w:val="101"/>
          <w:sz w:val="24"/>
          <w:szCs w:val="24"/>
        </w:rPr>
        <w:t xml:space="preserve">підставі _________________, </w:t>
      </w:r>
      <w:r>
        <w:rPr>
          <w:rFonts w:ascii="Times New Roman" w:hAnsi="Times New Roman"/>
          <w:sz w:val="24"/>
          <w:szCs w:val="24"/>
        </w:rPr>
        <w:t>який є платником податку на додану вартість на загальній системі оподаткування, що іменується надалі</w:t>
      </w:r>
      <w:r>
        <w:rPr>
          <w:rFonts w:ascii="Times New Roman" w:hAnsi="Times New Roman"/>
          <w:sz w:val="28"/>
          <w:szCs w:val="28"/>
        </w:rPr>
        <w:t xml:space="preserve"> </w:t>
      </w:r>
      <w:r>
        <w:rPr>
          <w:rFonts w:ascii="Times New Roman" w:hAnsi="Times New Roman"/>
          <w:b/>
          <w:sz w:val="24"/>
          <w:szCs w:val="24"/>
        </w:rPr>
        <w:t>“Виконавець”</w:t>
      </w:r>
      <w:r>
        <w:rPr>
          <w:rFonts w:ascii="Times New Roman" w:hAnsi="Times New Roman"/>
          <w:sz w:val="24"/>
          <w:szCs w:val="24"/>
        </w:rPr>
        <w:t xml:space="preserve"> (в подальшому разом  іменуються </w:t>
      </w:r>
      <w:r>
        <w:rPr>
          <w:rFonts w:ascii="Times New Roman" w:hAnsi="Times New Roman"/>
          <w:b/>
          <w:sz w:val="24"/>
          <w:szCs w:val="24"/>
        </w:rPr>
        <w:t>“Сторони</w:t>
      </w:r>
      <w:r>
        <w:rPr>
          <w:rFonts w:ascii="Times New Roman" w:hAnsi="Times New Roman"/>
          <w:sz w:val="24"/>
          <w:szCs w:val="24"/>
        </w:rPr>
        <w:t>”, а кожна окремо - «</w:t>
      </w:r>
      <w:r>
        <w:rPr>
          <w:rFonts w:ascii="Times New Roman" w:hAnsi="Times New Roman"/>
          <w:b/>
          <w:sz w:val="24"/>
          <w:szCs w:val="24"/>
        </w:rPr>
        <w:t>Сторона»</w:t>
      </w:r>
      <w:r>
        <w:rPr>
          <w:rFonts w:ascii="Times New Roman" w:hAnsi="Times New Roman"/>
          <w:sz w:val="24"/>
          <w:szCs w:val="24"/>
        </w:rPr>
        <w:t xml:space="preserve"> ) уклали цей Договір (надалі іменується </w:t>
      </w:r>
      <w:r>
        <w:rPr>
          <w:rFonts w:ascii="Times New Roman" w:hAnsi="Times New Roman"/>
          <w:b/>
          <w:sz w:val="24"/>
          <w:szCs w:val="24"/>
        </w:rPr>
        <w:t>«Договір</w:t>
      </w:r>
      <w:r>
        <w:rPr>
          <w:rFonts w:ascii="Times New Roman" w:hAnsi="Times New Roman"/>
          <w:sz w:val="24"/>
          <w:szCs w:val="24"/>
        </w:rPr>
        <w:t>» ) про наступне:</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2"/>
          <w:numId w:val="1"/>
        </w:numPr>
        <w:tabs>
          <w:tab w:val="clear" w:pos="708"/>
          <w:tab w:val="left" w:pos="709" w:leader="none"/>
        </w:tabs>
        <w:ind w:left="851" w:hanging="426"/>
        <w:jc w:val="center"/>
        <w:rPr>
          <w:rFonts w:ascii="Times New Roman" w:hAnsi="Times New Roman" w:eastAsia="Times New Roman"/>
          <w:b/>
          <w:b/>
          <w:sz w:val="24"/>
          <w:szCs w:val="24"/>
        </w:rPr>
      </w:pPr>
      <w:r>
        <w:rPr>
          <w:rFonts w:eastAsia="Times New Roman" w:ascii="Times New Roman" w:hAnsi="Times New Roman"/>
          <w:b/>
          <w:sz w:val="24"/>
          <w:szCs w:val="24"/>
        </w:rPr>
        <w:t>ПРЕДМЕТ ДОГОВОРУ</w:t>
      </w:r>
    </w:p>
    <w:p>
      <w:pPr>
        <w:pStyle w:val="Normal"/>
        <w:widowControl w:val="false"/>
        <w:tabs>
          <w:tab w:val="clear" w:pos="708"/>
          <w:tab w:val="center" w:pos="-2127" w:leader="none"/>
          <w:tab w:val="center" w:pos="7655" w:leader="none"/>
        </w:tabs>
        <w:ind w:right="657" w:firstLine="34"/>
        <w:rPr>
          <w:rFonts w:ascii="Times New Roman" w:hAnsi="Times New Roman" w:cs="Times New Roman"/>
          <w:b/>
          <w:b/>
        </w:rPr>
      </w:pPr>
      <w:r>
        <w:rPr>
          <w:rFonts w:eastAsia="Times New Roman" w:ascii="Times New Roman" w:hAnsi="Times New Roman"/>
          <w:sz w:val="24"/>
          <w:szCs w:val="24"/>
        </w:rPr>
        <w:t xml:space="preserve">1.1. Предметом Договору є </w:t>
      </w:r>
      <w:hyperlink r:id="rId2">
        <w:r>
          <w:rPr>
            <w:rFonts w:eastAsia="Times New Roman" w:cs="Times New Roman" w:ascii="Times New Roman" w:hAnsi="Times New Roman"/>
            <w:b/>
            <w:bCs/>
            <w:i w:val="false"/>
            <w:caps w:val="false"/>
            <w:smallCaps w:val="false"/>
            <w:strike w:val="false"/>
            <w:dstrike w:val="false"/>
            <w:color w:val="000000"/>
            <w:spacing w:val="0"/>
            <w:kern w:val="2"/>
            <w:sz w:val="24"/>
            <w:szCs w:val="24"/>
            <w:u w:val="none"/>
            <w:effect w:val="none"/>
            <w:shd w:fill="auto" w:val="clear"/>
            <w:lang w:eastAsia="zh-CN"/>
          </w:rPr>
          <w:t>Код за ДК 021:2015 (CPV): 85140000-2 - Послуги у сфері охорони здоров’я різні (85145000-7 - Послуги медичних лабораторій)</w:t>
        </w:r>
      </w:hyperlink>
    </w:p>
    <w:p>
      <w:pPr>
        <w:pStyle w:val="Normal"/>
        <w:widowControl w:val="false"/>
        <w:shd w:val="clear" w:color="auto" w:fill="FFFFFF"/>
        <w:spacing w:lineRule="atLeast" w:line="274"/>
        <w:ind w:firstLine="142"/>
        <w:jc w:val="both"/>
        <w:rPr>
          <w:rFonts w:ascii="Times New Roman" w:hAnsi="Times New Roman" w:eastAsia="Times New Roman"/>
          <w:sz w:val="24"/>
          <w:szCs w:val="24"/>
        </w:rPr>
      </w:pPr>
      <w:r>
        <w:rPr>
          <w:rFonts w:eastAsia="Times New Roman" w:ascii="Times New Roman" w:hAnsi="Times New Roman"/>
          <w:sz w:val="24"/>
          <w:szCs w:val="24"/>
        </w:rPr>
        <w:t>1.2. Перелік послуг, строки виконання  вказані у технічній, якісній та кількісній характеристиці (Додаток №2), який надається Виконавцем Замовнику.</w:t>
      </w:r>
    </w:p>
    <w:p>
      <w:pPr>
        <w:pStyle w:val="Normal"/>
        <w:shd w:val="clear" w:color="auto" w:fill="FFFFFF"/>
        <w:spacing w:lineRule="atLeast" w:line="274"/>
        <w:ind w:firstLine="142"/>
        <w:jc w:val="both"/>
        <w:rPr>
          <w:rFonts w:ascii="Times New Roman" w:hAnsi="Times New Roman" w:eastAsia="Times New Roman"/>
          <w:sz w:val="24"/>
          <w:szCs w:val="24"/>
        </w:rPr>
      </w:pPr>
      <w:r>
        <w:rPr>
          <w:rFonts w:eastAsia="Times New Roman" w:ascii="Times New Roman" w:hAnsi="Times New Roman"/>
          <w:sz w:val="24"/>
          <w:szCs w:val="24"/>
        </w:rPr>
        <w:t>1.3. Загальна сума Договору складає сумарну вартість виконаних медичних послуг впродовж дії даного Договору, згідно з рахунками-фактурами Виконавця.</w:t>
      </w:r>
    </w:p>
    <w:p>
      <w:pPr>
        <w:pStyle w:val="Normal"/>
        <w:keepLines/>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0"/>
          <w:numId w:val="1"/>
        </w:numPr>
        <w:jc w:val="center"/>
        <w:rPr>
          <w:rFonts w:ascii="Times New Roman" w:hAnsi="Times New Roman" w:eastAsia="Times New Roman"/>
          <w:b/>
          <w:b/>
          <w:sz w:val="24"/>
          <w:szCs w:val="24"/>
        </w:rPr>
      </w:pPr>
      <w:r>
        <w:rPr>
          <w:rFonts w:eastAsia="Times New Roman" w:ascii="Times New Roman" w:hAnsi="Times New Roman"/>
          <w:b/>
          <w:sz w:val="24"/>
          <w:szCs w:val="24"/>
        </w:rPr>
        <w:t>ТЕРМІНИ ЗА ТЕКСТОМ ДОГОВОРУ</w:t>
      </w:r>
    </w:p>
    <w:p>
      <w:pPr>
        <w:pStyle w:val="ListParagraph"/>
        <w:keepLines/>
        <w:widowControl w:val="false"/>
        <w:numPr>
          <w:ilvl w:val="1"/>
          <w:numId w:val="8"/>
        </w:numPr>
        <w:tabs>
          <w:tab w:val="clear" w:pos="708"/>
          <w:tab w:val="left" w:pos="426" w:leader="none"/>
        </w:tabs>
        <w:spacing w:lineRule="auto" w:line="240" w:before="0" w:after="0"/>
        <w:ind w:left="284" w:hanging="142"/>
        <w:contextualSpacing/>
        <w:jc w:val="both"/>
        <w:rPr>
          <w:rFonts w:ascii="Times New Roman" w:hAnsi="Times New Roman"/>
          <w:lang w:eastAsia="ru-RU"/>
        </w:rPr>
      </w:pPr>
      <w:r>
        <w:rPr>
          <w:rFonts w:ascii="Times New Roman" w:hAnsi="Times New Roman"/>
          <w:lang w:eastAsia="ru-RU"/>
        </w:rPr>
        <w:t xml:space="preserve">Замовлення – перелік послуг, замовлений Замовником для виконання. </w:t>
      </w:r>
    </w:p>
    <w:p>
      <w:pPr>
        <w:pStyle w:val="Normal"/>
        <w:keepLines/>
        <w:widowControl w:val="false"/>
        <w:ind w:left="142" w:hanging="142"/>
        <w:jc w:val="both"/>
        <w:rPr>
          <w:rFonts w:ascii="Times New Roman" w:hAnsi="Times New Roman" w:eastAsia="Times New Roman"/>
          <w:sz w:val="24"/>
          <w:szCs w:val="24"/>
        </w:rPr>
      </w:pPr>
      <w:r>
        <w:rPr>
          <w:rFonts w:eastAsia="Times New Roman" w:ascii="Times New Roman" w:hAnsi="Times New Roman"/>
          <w:sz w:val="24"/>
          <w:szCs w:val="24"/>
        </w:rPr>
        <w:tab/>
        <w:t>2.2. Рахунок – документ, що надається Виконавцем Замовнику і вміщує перелік послуг, їх кількість і ціну, по якій вони будуть поставлені Замовнику. Рахунок є основним документом, згідно з яким оплачуються отримані послуги відповідно до вказаних умов.</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2.3. Анкета-направлення – письмово оформлене замовлення Замовника на проведення досліджень із зазначенням даних про пацієнта.</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2.4. Біологічний зразок  – біологічний матеріал, який підлягає тестуванню.</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2.5. Преаналітичний етап дослідження – період з моменту взяття біологічного матеріалу до початку тестування (аналітичного етапу).</w:t>
      </w:r>
    </w:p>
    <w:p>
      <w:pPr>
        <w:pStyle w:val="Normal"/>
        <w:keepLines/>
        <w:widowControl w:val="false"/>
        <w:tabs>
          <w:tab w:val="clear" w:pos="708"/>
          <w:tab w:val="left" w:pos="142" w:leader="none"/>
        </w:tabs>
        <w:jc w:val="both"/>
        <w:rPr>
          <w:rFonts w:ascii="Times New Roman" w:hAnsi="Times New Roman" w:eastAsia="Times New Roman"/>
          <w:sz w:val="24"/>
          <w:szCs w:val="24"/>
        </w:rPr>
      </w:pPr>
      <w:r>
        <w:rPr>
          <w:rFonts w:eastAsia="Times New Roman" w:ascii="Times New Roman" w:hAnsi="Times New Roman"/>
          <w:sz w:val="24"/>
          <w:szCs w:val="24"/>
        </w:rPr>
        <w:tab/>
        <w:t>2.6. Звітний період – термін з 1 (першого) числа включно до останнього числа місяця звітного періоду (включно).</w:t>
      </w:r>
    </w:p>
    <w:p>
      <w:pPr>
        <w:pStyle w:val="Normal"/>
        <w:keepLines/>
        <w:widowControl w:val="false"/>
        <w:ind w:left="426"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0"/>
          <w:numId w:val="1"/>
        </w:numPr>
        <w:jc w:val="center"/>
        <w:rPr>
          <w:rFonts w:ascii="Times New Roman" w:hAnsi="Times New Roman" w:eastAsia="Times New Roman"/>
          <w:b/>
          <w:b/>
          <w:sz w:val="24"/>
          <w:szCs w:val="24"/>
        </w:rPr>
      </w:pPr>
      <w:r>
        <w:rPr>
          <w:rFonts w:eastAsia="Times New Roman" w:ascii="Times New Roman" w:hAnsi="Times New Roman"/>
          <w:b/>
          <w:sz w:val="24"/>
          <w:szCs w:val="24"/>
        </w:rPr>
        <w:t>ПРАВА ТА ОБОВ'ЯЗКИ СТОРІН</w:t>
      </w:r>
    </w:p>
    <w:p>
      <w:pPr>
        <w:pStyle w:val="Normal"/>
        <w:keepLines/>
        <w:widowControl w:val="false"/>
        <w:numPr>
          <w:ilvl w:val="1"/>
          <w:numId w:val="3"/>
        </w:numPr>
        <w:ind w:left="426" w:hanging="432"/>
        <w:jc w:val="both"/>
        <w:rPr>
          <w:rFonts w:ascii="Times New Roman" w:hAnsi="Times New Roman" w:eastAsia="Times New Roman"/>
          <w:b/>
          <w:b/>
          <w:sz w:val="24"/>
          <w:szCs w:val="24"/>
        </w:rPr>
      </w:pPr>
      <w:r>
        <w:rPr>
          <w:rFonts w:eastAsia="Times New Roman" w:ascii="Times New Roman" w:hAnsi="Times New Roman"/>
          <w:b/>
          <w:i/>
          <w:sz w:val="24"/>
          <w:szCs w:val="24"/>
        </w:rPr>
        <w:t>Виконавець зобов'язаний:</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t>3.1.1 Проводити медичні дослідження Замовника якісно і належним чином на сертифікованому обладнанні з залученням кваліфікованих спеціалістів.</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t>3.1.2.   Надати замовнику Рекомендації, які містять в собі:</w:t>
      </w:r>
    </w:p>
    <w:p>
      <w:pPr>
        <w:pStyle w:val="Normal"/>
        <w:keepLines/>
        <w:widowControl w:val="false"/>
        <w:tabs>
          <w:tab w:val="clear" w:pos="708"/>
          <w:tab w:val="left" w:pos="709" w:leader="none"/>
        </w:tabs>
        <w:jc w:val="both"/>
        <w:rPr>
          <w:rFonts w:ascii="Times New Roman" w:hAnsi="Times New Roman" w:eastAsia="Times New Roman"/>
          <w:sz w:val="24"/>
          <w:szCs w:val="24"/>
        </w:rPr>
      </w:pPr>
      <w:r>
        <w:rPr>
          <w:rFonts w:eastAsia="Times New Roman" w:ascii="Times New Roman" w:hAnsi="Times New Roman"/>
          <w:sz w:val="24"/>
          <w:szCs w:val="24"/>
        </w:rPr>
        <w:t>3.1.2.1.Зразки документації для реєстрації та супроводу. Такі документи є первинним свідченням того, що Замовник замовив, а Виконавець розпочав виконання медичної послуги.</w:t>
      </w:r>
    </w:p>
    <w:p>
      <w:pPr>
        <w:pStyle w:val="Normal"/>
        <w:keepLines/>
        <w:widowControl w:val="false"/>
        <w:jc w:val="both"/>
        <w:rPr>
          <w:rFonts w:ascii="Times New Roman" w:hAnsi="Times New Roman" w:eastAsia="Times New Roman"/>
          <w:sz w:val="24"/>
          <w:szCs w:val="24"/>
        </w:rPr>
      </w:pPr>
      <w:r>
        <w:rPr>
          <w:rFonts w:eastAsia="Times New Roman" w:ascii="Times New Roman" w:hAnsi="Times New Roman"/>
          <w:sz w:val="24"/>
          <w:szCs w:val="24"/>
        </w:rPr>
        <w:t>3.1.2.2.Вимоги, яких необхідно дотримуватись, для забезпечення відповідної якості медичних послуг на підготовчому  етапі пацієнта.</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Забезпечити високу якість, безпечність і достовірність медичних послуг.</w:t>
      </w:r>
    </w:p>
    <w:p>
      <w:pPr>
        <w:pStyle w:val="Normal"/>
        <w:keepLines/>
        <w:widowControl w:val="false"/>
        <w:numPr>
          <w:ilvl w:val="2"/>
          <w:numId w:val="3"/>
        </w:numPr>
        <w:tabs>
          <w:tab w:val="clear" w:pos="708"/>
          <w:tab w:val="left" w:pos="-2835" w:leader="none"/>
          <w:tab w:val="left" w:pos="-2410" w:leader="none"/>
          <w:tab w:val="left" w:pos="0"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Забезпечити необхідний сервіс та інформаційно-консультативну підтримку представникам Замовника.</w:t>
      </w:r>
    </w:p>
    <w:p>
      <w:pPr>
        <w:pStyle w:val="Normal"/>
        <w:keepLines/>
        <w:tabs>
          <w:tab w:val="clear" w:pos="708"/>
          <w:tab w:val="left" w:pos="-1418" w:leader="none"/>
          <w:tab w:val="left" w:pos="0" w:leader="none"/>
        </w:tabs>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3.1.5. Призначити відповідальну особу зворотній зв'язок з представником Замовника з приводу заповнення супровідної документації, зберігання та транспортування біологічного матеріалу: ____________________________________________________.</w:t>
      </w:r>
    </w:p>
    <w:p>
      <w:pPr>
        <w:pStyle w:val="Normal"/>
        <w:keepLines/>
        <w:tabs>
          <w:tab w:val="clear" w:pos="708"/>
          <w:tab w:val="left" w:pos="-2835" w:leader="none"/>
        </w:tabs>
        <w:jc w:val="both"/>
        <w:rPr>
          <w:rFonts w:ascii="Times New Roman" w:hAnsi="Times New Roman" w:eastAsia="Times New Roman"/>
          <w:sz w:val="24"/>
          <w:szCs w:val="24"/>
        </w:rPr>
      </w:pPr>
      <w:r>
        <w:rPr>
          <w:rFonts w:eastAsia="Times New Roman" w:ascii="Times New Roman" w:hAnsi="Times New Roman"/>
          <w:sz w:val="24"/>
          <w:szCs w:val="24"/>
        </w:rPr>
        <w:t>3.1.6. Зберігати лікарську таємницю, що стосується клієнтів Замовника, за винятком випадків, передбачених чинним законодавством України.</w:t>
      </w:r>
    </w:p>
    <w:p>
      <w:pPr>
        <w:pStyle w:val="Normal"/>
        <w:keepLines/>
        <w:widowControl w:val="false"/>
        <w:numPr>
          <w:ilvl w:val="1"/>
          <w:numId w:val="3"/>
        </w:numPr>
        <w:ind w:left="426" w:hanging="432"/>
        <w:jc w:val="both"/>
        <w:rPr>
          <w:rFonts w:ascii="Times New Roman" w:hAnsi="Times New Roman" w:eastAsia="Times New Roman"/>
          <w:b/>
          <w:b/>
          <w:i/>
          <w:i/>
          <w:sz w:val="24"/>
          <w:szCs w:val="24"/>
        </w:rPr>
      </w:pPr>
      <w:r>
        <w:rPr>
          <w:rFonts w:eastAsia="Times New Roman" w:ascii="Times New Roman" w:hAnsi="Times New Roman"/>
          <w:b/>
          <w:i/>
          <w:sz w:val="24"/>
          <w:szCs w:val="24"/>
        </w:rPr>
        <w:t>Виконавець має право:</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Вчасно та в повному обсязі отримувати від Замовника інформацію, необхідну для якісного надання послуг за цим Договором. </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Отримати за надані послуги платню, в розмірі та в строки згідно цього Договору.</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Змінювати форму документації, в разі виробничої необхідності.</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Змінювати вартість послуг, вказаних у прейскуранті, якщо це не суперечить іншим умовам даного Договору, попередивши про ці зміни Замовника у письмовій формі (по пошті, факсу, електронній пошті не пізніше ніж за 15 (п’ятнадцять) календарних днів до впровадження таких змін.</w:t>
      </w:r>
    </w:p>
    <w:p>
      <w:pPr>
        <w:pStyle w:val="Normal"/>
        <w:keepLines/>
        <w:widowControl w:val="false"/>
        <w:numPr>
          <w:ilvl w:val="2"/>
          <w:numId w:val="3"/>
        </w:numPr>
        <w:tabs>
          <w:tab w:val="clear" w:pos="708"/>
          <w:tab w:val="left" w:pos="426"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Змінювати термін виконання послуг за умови своєчасного інформування Замовника (не пізніше ніж кінцевий термін виконання послуги) з обґрунтуванням причини на це.</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У випадку недотримання Замовником своїх зобов’язань згідно Договору, вимагати від нього усунення виявлених недоліків та відшкодування завданих збитків.</w:t>
      </w:r>
    </w:p>
    <w:p>
      <w:pPr>
        <w:pStyle w:val="Normal"/>
        <w:keepLines/>
        <w:widowControl w:val="false"/>
        <w:numPr>
          <w:ilvl w:val="2"/>
          <w:numId w:val="3"/>
        </w:numPr>
        <w:tabs>
          <w:tab w:val="clear" w:pos="708"/>
          <w:tab w:val="left" w:pos="426"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Надавати транспортні послуги з перевезення біологічного матеріалу за попередньою домовленістю із Замовником.</w:t>
      </w:r>
    </w:p>
    <w:p>
      <w:pPr>
        <w:pStyle w:val="Normal"/>
        <w:keepLines/>
        <w:widowControl w:val="false"/>
        <w:numPr>
          <w:ilvl w:val="1"/>
          <w:numId w:val="3"/>
        </w:numPr>
        <w:ind w:left="426" w:hanging="432"/>
        <w:jc w:val="both"/>
        <w:rPr>
          <w:rFonts w:ascii="Times New Roman" w:hAnsi="Times New Roman" w:eastAsia="Times New Roman"/>
          <w:b/>
          <w:b/>
          <w:i/>
          <w:i/>
          <w:sz w:val="24"/>
          <w:szCs w:val="24"/>
        </w:rPr>
      </w:pPr>
      <w:r>
        <w:rPr>
          <w:rFonts w:eastAsia="Times New Roman" w:ascii="Times New Roman" w:hAnsi="Times New Roman"/>
          <w:b/>
          <w:i/>
          <w:sz w:val="24"/>
          <w:szCs w:val="24"/>
        </w:rPr>
        <w:t>Замовник зобов’язаний:</w:t>
      </w:r>
    </w:p>
    <w:p>
      <w:pPr>
        <w:pStyle w:val="Normal"/>
        <w:keepLines/>
        <w:tabs>
          <w:tab w:val="clear" w:pos="708"/>
          <w:tab w:val="left" w:pos="-1418" w:leader="none"/>
          <w:tab w:val="left" w:pos="284" w:leader="none"/>
        </w:tabs>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3.3.1. Призначити відповідальну особу за виконання преаналітичного етапу, заповнення супровідної документації та зворотній зв'язок з приводу дефектури ________________________________________________________________________________</w:t>
      </w:r>
    </w:p>
    <w:p>
      <w:pPr>
        <w:pStyle w:val="Normal"/>
        <w:keepLines/>
        <w:tabs>
          <w:tab w:val="clear" w:pos="708"/>
          <w:tab w:val="left" w:pos="-1418" w:leader="none"/>
          <w:tab w:val="left" w:pos="284" w:leader="none"/>
        </w:tabs>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3.3.2. Приймати від Виконавця результати наданих послуг шляхом отримання результатів досліджень через електронні системи передачі.</w:t>
      </w:r>
    </w:p>
    <w:p>
      <w:pPr>
        <w:pStyle w:val="Normal"/>
        <w:keepLines/>
        <w:jc w:val="both"/>
        <w:rPr>
          <w:rFonts w:ascii="Times New Roman" w:hAnsi="Times New Roman" w:eastAsia="Times New Roman"/>
          <w:sz w:val="24"/>
          <w:szCs w:val="24"/>
        </w:rPr>
      </w:pPr>
      <w:r>
        <w:rPr>
          <w:rFonts w:eastAsia="Times New Roman" w:ascii="Times New Roman" w:hAnsi="Times New Roman"/>
          <w:sz w:val="24"/>
          <w:szCs w:val="24"/>
        </w:rPr>
        <w:t xml:space="preserve">3.3.3. Вчасно підписувати «Акти виконаних робіт» та сплачувати вартість медичних послуг Виконавця відповідно до умов Договору. </w:t>
      </w:r>
      <w:bookmarkStart w:id="0" w:name="OLE_LINK2"/>
      <w:bookmarkStart w:id="1" w:name="OLE_LINK1"/>
      <w:bookmarkEnd w:id="0"/>
      <w:bookmarkEnd w:id="1"/>
    </w:p>
    <w:p>
      <w:pPr>
        <w:pStyle w:val="Normal"/>
        <w:keepLines/>
        <w:widowControl w:val="false"/>
        <w:numPr>
          <w:ilvl w:val="1"/>
          <w:numId w:val="3"/>
        </w:numPr>
        <w:ind w:left="426" w:hanging="432"/>
        <w:jc w:val="both"/>
        <w:rPr>
          <w:rFonts w:ascii="Times New Roman" w:hAnsi="Times New Roman" w:eastAsia="Times New Roman"/>
          <w:b/>
          <w:b/>
          <w:i/>
          <w:i/>
          <w:sz w:val="24"/>
          <w:szCs w:val="24"/>
        </w:rPr>
      </w:pPr>
      <w:r>
        <w:rPr>
          <w:rFonts w:eastAsia="Times New Roman" w:ascii="Times New Roman" w:hAnsi="Times New Roman"/>
          <w:b/>
          <w:i/>
          <w:sz w:val="24"/>
          <w:szCs w:val="24"/>
        </w:rPr>
        <w:t>Замовник має право:</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Вимагати належної якості надання медичних послуг у межах Договору.</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Відмовитися від отримання результатів наданих послуг, якщо надані послуги не відповідають умовам Договору.</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У випадку недотримання Виконавцем своїх зобов’язань за Договором, вимагати від нього усунення виявлених недоліків та відшкодування завданих збитків.</w:t>
      </w:r>
    </w:p>
    <w:p>
      <w:pPr>
        <w:pStyle w:val="Normal"/>
        <w:keepLines/>
        <w:widowControl w:val="false"/>
        <w:numPr>
          <w:ilvl w:val="2"/>
          <w:numId w:val="3"/>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Вимагати від виконавця ліцензію, документацію про кваліфікацію персоналу, свідоцтво про атестацію  та інші документи на право діяльності в сфері медичних послуг, документацію про підтвердження контролю якості Виконавцем.</w:t>
      </w:r>
    </w:p>
    <w:p>
      <w:pPr>
        <w:pStyle w:val="Normal"/>
        <w:keepLines/>
        <w:widowControl w:val="false"/>
        <w:ind w:left="993"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numPr>
          <w:ilvl w:val="0"/>
          <w:numId w:val="5"/>
        </w:numPr>
        <w:jc w:val="center"/>
        <w:rPr>
          <w:rFonts w:ascii="Times New Roman" w:hAnsi="Times New Roman" w:eastAsia="Times New Roman"/>
          <w:b/>
          <w:b/>
          <w:sz w:val="24"/>
          <w:szCs w:val="24"/>
        </w:rPr>
      </w:pPr>
      <w:r>
        <w:rPr>
          <w:rFonts w:eastAsia="Times New Roman" w:ascii="Times New Roman" w:hAnsi="Times New Roman"/>
          <w:b/>
          <w:sz w:val="24"/>
          <w:szCs w:val="24"/>
        </w:rPr>
        <w:t>ОПЛАТА ПОСЛУГ І ПОРЯДОК ЇХ ПРИЙМАННЯ</w:t>
      </w:r>
    </w:p>
    <w:p>
      <w:pPr>
        <w:pStyle w:val="ListParagraph"/>
        <w:keepLines/>
        <w:widowControl w:val="false"/>
        <w:numPr>
          <w:ilvl w:val="1"/>
          <w:numId w:val="10"/>
        </w:numPr>
        <w:tabs>
          <w:tab w:val="clear" w:pos="708"/>
          <w:tab w:val="left" w:pos="-1418" w:leader="none"/>
        </w:tabs>
        <w:spacing w:lineRule="auto" w:line="240" w:before="0" w:after="0"/>
        <w:ind w:left="0" w:hanging="0"/>
        <w:contextualSpacing/>
        <w:jc w:val="both"/>
        <w:rPr>
          <w:rFonts w:ascii="Times New Roman" w:hAnsi="Times New Roman"/>
          <w:lang w:eastAsia="x-none"/>
        </w:rPr>
      </w:pPr>
      <w:r>
        <w:rPr>
          <w:rFonts w:ascii="Times New Roman" w:hAnsi="Times New Roman"/>
          <w:lang w:eastAsia="x-none"/>
        </w:rPr>
        <w:t>Вартість послуг</w:t>
      </w:r>
      <w:r>
        <w:rPr>
          <w:rFonts w:ascii="Times New Roman" w:hAnsi="Times New Roman"/>
          <w:b/>
          <w:bCs/>
          <w:u w:val="single"/>
          <w:lang w:val="en-US" w:eastAsia="x-none"/>
        </w:rPr>
        <w:t>_____________________________________________________</w:t>
      </w:r>
      <w:r>
        <w:rPr>
          <w:rFonts w:ascii="Times New Roman" w:hAnsi="Times New Roman"/>
          <w:b/>
          <w:lang w:eastAsia="x-none"/>
        </w:rPr>
        <w:t>.</w:t>
      </w:r>
    </w:p>
    <w:p>
      <w:pPr>
        <w:pStyle w:val="ListParagraph"/>
        <w:keepLines/>
        <w:widowControl w:val="false"/>
        <w:numPr>
          <w:ilvl w:val="1"/>
          <w:numId w:val="10"/>
        </w:numPr>
        <w:tabs>
          <w:tab w:val="clear" w:pos="708"/>
          <w:tab w:val="left" w:pos="-1418" w:leader="none"/>
        </w:tabs>
        <w:spacing w:lineRule="auto" w:line="240" w:before="0" w:after="0"/>
        <w:ind w:left="0" w:hanging="0"/>
        <w:contextualSpacing/>
        <w:jc w:val="both"/>
        <w:rPr>
          <w:rFonts w:ascii="Times New Roman" w:hAnsi="Times New Roman"/>
          <w:lang w:eastAsia="x-none"/>
        </w:rPr>
      </w:pPr>
      <w:r>
        <w:rPr>
          <w:rFonts w:ascii="Times New Roman" w:hAnsi="Times New Roman"/>
          <w:lang w:eastAsia="x-none"/>
        </w:rPr>
        <w:t xml:space="preserve">Оплата Замовником послуг за цим Договором здійснюється з відстроченням платежу. </w:t>
      </w:r>
    </w:p>
    <w:p>
      <w:pPr>
        <w:pStyle w:val="Normal"/>
        <w:keepLines/>
        <w:widowControl w:val="false"/>
        <w:numPr>
          <w:ilvl w:val="1"/>
          <w:numId w:val="10"/>
        </w:numPr>
        <w:tabs>
          <w:tab w:val="clear" w:pos="708"/>
          <w:tab w:val="left" w:pos="-1418" w:leader="none"/>
        </w:tabs>
        <w:ind w:left="-6" w:firstLine="6"/>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Оплата Замовником з відстроченням платежу  здійснюються за звітний період протягом 15 календарних днів. </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Звітним періодом є термін з 1 (першого) числа включно до останнього числа місяця звітного періоду (включно).</w:t>
      </w:r>
    </w:p>
    <w:p>
      <w:pPr>
        <w:pStyle w:val="Normal"/>
        <w:keepLines/>
        <w:widowControl w:val="false"/>
        <w:numPr>
          <w:ilvl w:val="2"/>
          <w:numId w:val="10"/>
        </w:numPr>
        <w:tabs>
          <w:tab w:val="clear" w:pos="708"/>
          <w:tab w:val="left" w:pos="-1418" w:leader="none"/>
          <w:tab w:val="left" w:pos="284"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У разі затримки фінансування розрахунок за товар здійснюється протягом 7 (семи) банківських днів з дати отримання Замовником коштів на свій реєстраційний рахунок.</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Послуга підлягає оплаті і вважається наданою у разі, якщо  замовлення є остаточно виконаними, а результати  надані Замовнику.</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 xml:space="preserve">Порядок звірки наданих послуг. </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Здавання послуг Виконавцем та приймання їх Замовником оформлюється «Актом надання послуг».</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Виконавець надає Замовнику «Звірку виконаних робіт» протягом 10 робочих днів після закінчення звітного періоду.</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Звірка наданих послуг Замовником за звітний період має тривати не більше 5 робочих днів з моменту отримання «Звірки виконаних робіт» в електронному вигляді на електронну адресу відповідальної особи зі сторони Замовника.</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Якщо відповідь не буде отримана через 5 робочих днів, перелік  та вартість наданих послуг вважається правильним і є підставою для формування «Акта надання послуг» та оплати послуг згідно рахунку.</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«Акт надання послуг» і рахунок передаються Замовнику на паперових носіях з печаткою. </w:t>
      </w:r>
    </w:p>
    <w:p>
      <w:pPr>
        <w:pStyle w:val="Normal"/>
        <w:keepLines/>
        <w:widowControl w:val="false"/>
        <w:numPr>
          <w:ilvl w:val="1"/>
          <w:numId w:val="10"/>
        </w:numPr>
        <w:tabs>
          <w:tab w:val="clear" w:pos="708"/>
          <w:tab w:val="left" w:pos="-1418" w:leader="none"/>
        </w:tabs>
        <w:ind w:left="426" w:hanging="426"/>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Сторони домовились вважати:</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Документи «Анкета-Направлення», які заповнені представником Замовника є первинним документом, що підтверджує замовлення Замовником медичної послуги у Виконавця. </w:t>
      </w:r>
    </w:p>
    <w:p>
      <w:pPr>
        <w:pStyle w:val="Normal"/>
        <w:keepLines/>
        <w:widowControl w:val="false"/>
        <w:numPr>
          <w:ilvl w:val="2"/>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«Анкета-Направлення» та копія протоколу УЗД є обов’язковими для замовлення послуги і мають бути підписані відповідальними особами Замовника.</w:t>
      </w:r>
    </w:p>
    <w:p>
      <w:pPr>
        <w:pStyle w:val="Normal"/>
        <w:keepLines/>
        <w:widowControl w:val="false"/>
        <w:numPr>
          <w:ilvl w:val="1"/>
          <w:numId w:val="10"/>
        </w:numPr>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«Акт надання послуг» має бути підписаний протягом 5 робочих днів після його отримання.</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У разі запиту Замовника, Виконавець надає деталізований звіт про фактично надані послуги за звітний період.</w:t>
      </w:r>
    </w:p>
    <w:p>
      <w:pPr>
        <w:pStyle w:val="Normal"/>
        <w:keepLines/>
        <w:widowControl w:val="false"/>
        <w:numPr>
          <w:ilvl w:val="1"/>
          <w:numId w:val="10"/>
        </w:numPr>
        <w:tabs>
          <w:tab w:val="clear" w:pos="708"/>
          <w:tab w:val="left" w:pos="-1418"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r>
        <w:rPr>
          <w:rFonts w:eastAsia="Times New Roman" w:ascii="Times New Roman" w:hAnsi="Times New Roman"/>
          <w:sz w:val="24"/>
          <w:szCs w:val="24"/>
          <w:lang w:eastAsia="x-none"/>
        </w:rPr>
        <w:t>Після отримання рахунку Замовних впродовж 10 банківських днів зобов’язаний перерахувати суму вартості послуг на рахунок Виконавця згідно відповідного рахунка. При оформленні Замовником платіжних документів в розділі "Призначення платежу" обов'язкове посилання на номер, дату рахунку. При відсутності посилання на рахунок або будь-яку невідповідність цим документам, Виконавець  на власний розсуд буде вважати отримані кошти оплатою по будь-якому із виставлених та неоплачених рахунків.</w:t>
      </w:r>
    </w:p>
    <w:p>
      <w:pPr>
        <w:pStyle w:val="Normal"/>
        <w:keepLines/>
        <w:widowControl w:val="false"/>
        <w:numPr>
          <w:ilvl w:val="1"/>
          <w:numId w:val="10"/>
        </w:numPr>
        <w:tabs>
          <w:tab w:val="clear" w:pos="708"/>
          <w:tab w:val="left" w:pos="-1418" w:leader="none"/>
          <w:tab w:val="left" w:pos="0" w:leader="none"/>
        </w:tabs>
        <w:ind w:left="0"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Для вирішення питань зі своєчасного підписання документації Виконавця, звірки достовірності наданих медичних послуг за «Актом надання послуг», вчасної оплати за медичні послуги - в договорі обов’язково вказується відповідальний представник(и) із сторони Замовника (у разі зміни відповідальної особи Замовник у письмовій формі зобов’язаний попередити Виконавця), контактний номер телефону і адреса електронної скриньки: </w:t>
      </w:r>
    </w:p>
    <w:p>
      <w:pPr>
        <w:pStyle w:val="Normal"/>
        <w:keepLines/>
        <w:tabs>
          <w:tab w:val="clear" w:pos="708"/>
          <w:tab w:val="left" w:pos="-1418" w:leader="none"/>
          <w:tab w:val="left" w:pos="284" w:leader="none"/>
        </w:tabs>
        <w:ind w:left="426"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Відповідальна особа зі сторони Замовника :</w:t>
      </w:r>
    </w:p>
    <w:p>
      <w:pPr>
        <w:pStyle w:val="Normal"/>
        <w:keepLines/>
        <w:tabs>
          <w:tab w:val="clear" w:pos="708"/>
          <w:tab w:val="left" w:pos="-1418" w:leader="none"/>
          <w:tab w:val="left" w:pos="284" w:leader="none"/>
        </w:tabs>
        <w:ind w:left="426"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тел.                                      </w:t>
      </w:r>
    </w:p>
    <w:p>
      <w:pPr>
        <w:pStyle w:val="Normal"/>
        <w:keepLines/>
        <w:tabs>
          <w:tab w:val="clear" w:pos="708"/>
          <w:tab w:val="left" w:pos="-1418" w:leader="none"/>
          <w:tab w:val="left" w:pos="284" w:leader="none"/>
        </w:tabs>
        <w:ind w:left="426" w:hanging="0"/>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E-mail:            </w:t>
      </w:r>
    </w:p>
    <w:p>
      <w:pPr>
        <w:pStyle w:val="Normal"/>
        <w:widowControl w:val="false"/>
        <w:tabs>
          <w:tab w:val="clear" w:pos="708"/>
          <w:tab w:val="left" w:pos="-1418" w:leader="none"/>
        </w:tabs>
        <w:ind w:left="-426" w:hanging="284"/>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Відповідальна особа зі сторони Виконавця:</w:t>
      </w:r>
    </w:p>
    <w:p>
      <w:pPr>
        <w:pStyle w:val="Normal"/>
        <w:widowControl w:val="false"/>
        <w:tabs>
          <w:tab w:val="clear" w:pos="708"/>
          <w:tab w:val="left" w:pos="-1418" w:leader="none"/>
        </w:tabs>
        <w:ind w:left="-426" w:hanging="284"/>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тел. </w:t>
      </w:r>
    </w:p>
    <w:p>
      <w:pPr>
        <w:pStyle w:val="Normal"/>
        <w:widowControl w:val="false"/>
        <w:tabs>
          <w:tab w:val="clear" w:pos="708"/>
          <w:tab w:val="left" w:pos="-1418" w:leader="none"/>
        </w:tabs>
        <w:ind w:left="-426" w:hanging="284"/>
        <w:jc w:val="both"/>
        <w:rPr/>
      </w:pPr>
      <w:r>
        <w:rPr>
          <w:rFonts w:eastAsia="Times New Roman" w:ascii="Times New Roman" w:hAnsi="Times New Roman"/>
          <w:sz w:val="24"/>
          <w:szCs w:val="24"/>
        </w:rPr>
        <w:t xml:space="preserve">                   </w:t>
      </w:r>
      <w:r>
        <w:rPr>
          <w:rFonts w:eastAsia="Times New Roman" w:ascii="Times New Roman" w:hAnsi="Times New Roman"/>
          <w:sz w:val="24"/>
          <w:szCs w:val="24"/>
        </w:rPr>
        <w:t>E-mail:</w:t>
      </w:r>
    </w:p>
    <w:p>
      <w:pPr>
        <w:pStyle w:val="Normal"/>
        <w:widowControl w:val="false"/>
        <w:tabs>
          <w:tab w:val="clear" w:pos="708"/>
          <w:tab w:val="left" w:pos="-1418" w:leader="none"/>
        </w:tabs>
        <w:ind w:left="-426" w:hanging="284"/>
        <w:jc w:val="both"/>
        <w:rPr>
          <w:rFonts w:ascii="Times New Roman" w:hAnsi="Times New Roman" w:eastAsia="Times New Roman"/>
          <w:sz w:val="24"/>
          <w:szCs w:val="24"/>
          <w:lang w:eastAsia="x-none"/>
        </w:rPr>
      </w:pPr>
      <w:r>
        <w:rPr>
          <w:rFonts w:eastAsia="Times New Roman" w:ascii="Times New Roman" w:hAnsi="Times New Roman"/>
          <w:sz w:val="24"/>
          <w:szCs w:val="24"/>
          <w:lang w:eastAsia="x-none"/>
        </w:rPr>
        <w:t xml:space="preserve">                      </w:t>
      </w:r>
    </w:p>
    <w:p>
      <w:pPr>
        <w:pStyle w:val="Normal"/>
        <w:keepLines/>
        <w:widowControl w:val="false"/>
        <w:numPr>
          <w:ilvl w:val="0"/>
          <w:numId w:val="4"/>
        </w:numPr>
        <w:jc w:val="center"/>
        <w:rPr>
          <w:rFonts w:ascii="Times New Roman" w:hAnsi="Times New Roman" w:eastAsia="Times New Roman"/>
          <w:b/>
          <w:b/>
          <w:sz w:val="24"/>
          <w:szCs w:val="24"/>
        </w:rPr>
      </w:pPr>
      <w:r>
        <w:rPr>
          <w:rFonts w:eastAsia="Times New Roman" w:ascii="Times New Roman" w:hAnsi="Times New Roman"/>
          <w:b/>
          <w:sz w:val="24"/>
          <w:szCs w:val="24"/>
        </w:rPr>
        <w:t>ВІДПОВІДАЛЬНІСТЬ СТОРІН</w:t>
      </w:r>
    </w:p>
    <w:p>
      <w:pPr>
        <w:pStyle w:val="Normal"/>
        <w:keepLines/>
        <w:widowControl w:val="false"/>
        <w:numPr>
          <w:ilvl w:val="1"/>
          <w:numId w:val="2"/>
        </w:numPr>
        <w:tabs>
          <w:tab w:val="clear" w:pos="708"/>
          <w:tab w:val="left" w:pos="0" w:leader="none"/>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Виконавець несе відповідальність за якість, безпеку і достовірність медичних послуг наданих у межах Договору.</w:t>
      </w:r>
    </w:p>
    <w:p>
      <w:pPr>
        <w:pStyle w:val="Normal"/>
        <w:keepLines/>
        <w:widowControl w:val="false"/>
        <w:numPr>
          <w:ilvl w:val="1"/>
          <w:numId w:val="2"/>
        </w:numPr>
        <w:tabs>
          <w:tab w:val="clear" w:pos="708"/>
          <w:tab w:val="left" w:pos="0" w:leader="none"/>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випадку несвоєчасної сплати надання послуг (медичних послуг), Замовник за вимогою Виконавця сплачує пеню в розмірі 0,1 % від простроченої суми за кожен день прострочення, але не більше подвійної облікової ставки НБУ, яка діяла в період прострочення. Нарахування пені  обмежується строком в шість місяців.</w:t>
      </w:r>
    </w:p>
    <w:p>
      <w:pPr>
        <w:pStyle w:val="Normal"/>
        <w:keepLines/>
        <w:widowControl w:val="false"/>
        <w:numPr>
          <w:ilvl w:val="1"/>
          <w:numId w:val="2"/>
        </w:numPr>
        <w:tabs>
          <w:tab w:val="clear" w:pos="708"/>
        </w:tabs>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випадку відсутності своєчасної оплати послуг Виконавця згідно рахунку, Виконавець залишає за собою право без попередження припинити надання медичних послуг Замовнику до повного погашення заборгованості Замовника перед Виконавцем.</w:t>
      </w:r>
    </w:p>
    <w:p>
      <w:pPr>
        <w:pStyle w:val="Normal"/>
        <w:keepLines/>
        <w:widowControl w:val="false"/>
        <w:numPr>
          <w:ilvl w:val="1"/>
          <w:numId w:val="2"/>
        </w:numPr>
        <w:tabs>
          <w:tab w:val="clear" w:pos="708"/>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За умови прострочення Замовником строків оплати за надані послуги за цим Договором, він повинен сплатити Виконавцю суму боргу з урахуванням встановленого індексу інфляції за весь час прострочення та проценти за користування чужими грошовими коштами у розмірі трьох відсотків від простроченої суми оплати.</w:t>
      </w:r>
    </w:p>
    <w:p>
      <w:pPr>
        <w:pStyle w:val="Normal"/>
        <w:keepLines/>
        <w:widowControl w:val="false"/>
        <w:numPr>
          <w:ilvl w:val="1"/>
          <w:numId w:val="2"/>
        </w:numPr>
        <w:tabs>
          <w:tab w:val="clear" w:pos="708"/>
          <w:tab w:val="left" w:pos="0" w:leader="none"/>
          <w:tab w:val="left" w:pos="567"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випадку неякісного виконання чи невиконання замовлених робіт (медичних послуг) із вини Виконавця (якщо це буде доведена Замовником, або Виконавець визнав таку провину), Замовник залишає за собою право вимагати повернення вартості таких медичних послуг або їх повторного виконання. До тих пір, поки провина Виконавця не доведена, Замовник не звільняється від обов’язку вчасно сплачувати замовлені послуги.</w:t>
      </w:r>
    </w:p>
    <w:p>
      <w:pPr>
        <w:pStyle w:val="Normal"/>
        <w:keepLines/>
        <w:widowControl w:val="false"/>
        <w:numPr>
          <w:ilvl w:val="1"/>
          <w:numId w:val="2"/>
        </w:numPr>
        <w:tabs>
          <w:tab w:val="clear" w:pos="708"/>
          <w:tab w:val="left" w:pos="0"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Відшкодування збитків не звільняє сторони від виконання зобов'язань за Договором, крім випадків, передбачених законодавством України.</w:t>
      </w:r>
    </w:p>
    <w:p>
      <w:pPr>
        <w:pStyle w:val="Normal"/>
        <w:keepLines/>
        <w:widowControl w:val="false"/>
        <w:numPr>
          <w:ilvl w:val="1"/>
          <w:numId w:val="2"/>
        </w:numPr>
        <w:tabs>
          <w:tab w:val="clear" w:pos="708"/>
        </w:tabs>
        <w:ind w:left="0" w:hanging="0"/>
        <w:jc w:val="both"/>
        <w:rPr>
          <w:rFonts w:ascii="Times New Roman" w:hAnsi="Times New Roman" w:eastAsia="Times New Roman"/>
          <w:sz w:val="24"/>
          <w:szCs w:val="24"/>
        </w:rPr>
      </w:pPr>
      <w:r>
        <w:rPr>
          <w:rFonts w:eastAsia="Times New Roman" w:ascii="Times New Roman" w:hAnsi="Times New Roman"/>
          <w:sz w:val="24"/>
          <w:szCs w:val="24"/>
        </w:rPr>
        <w:t>У разі порушень обов'язків за цим Договором, а також у всьому іншому, що не було передбачено ним, Сторони керуються чинним законодавством України.</w:t>
      </w:r>
    </w:p>
    <w:p>
      <w:pPr>
        <w:pStyle w:val="Normal"/>
        <w:keepLines/>
        <w:tabs>
          <w:tab w:val="clear" w:pos="708"/>
          <w:tab w:val="left" w:pos="-2835" w:leader="none"/>
        </w:tabs>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Lines/>
        <w:widowControl w:val="false"/>
        <w:ind w:left="360" w:hanging="0"/>
        <w:jc w:val="center"/>
        <w:rPr>
          <w:rFonts w:ascii="Times New Roman" w:hAnsi="Times New Roman" w:eastAsia="Times New Roman"/>
          <w:b/>
          <w:b/>
          <w:sz w:val="24"/>
          <w:szCs w:val="24"/>
        </w:rPr>
      </w:pPr>
      <w:r>
        <w:rPr>
          <w:rFonts w:eastAsia="Times New Roman" w:ascii="Times New Roman" w:hAnsi="Times New Roman"/>
          <w:b/>
          <w:sz w:val="24"/>
          <w:szCs w:val="24"/>
        </w:rPr>
        <w:t>6.</w:t>
        <w:tab/>
        <w:t>ПОРЯДОК РОЗВ’ЯЗАННЯ СПОРІВ</w:t>
      </w:r>
    </w:p>
    <w:p>
      <w:pPr>
        <w:pStyle w:val="Normal"/>
        <w:keepLines/>
        <w:widowControl w:val="false"/>
        <w:jc w:val="both"/>
        <w:rPr>
          <w:rFonts w:ascii="Times New Roman" w:hAnsi="Times New Roman" w:eastAsia="Times New Roman"/>
          <w:bCs/>
          <w:sz w:val="24"/>
          <w:szCs w:val="24"/>
        </w:rPr>
      </w:pPr>
      <w:r>
        <w:rPr>
          <w:rFonts w:eastAsia="Times New Roman" w:ascii="Times New Roman" w:hAnsi="Times New Roman"/>
          <w:bCs/>
          <w:sz w:val="24"/>
          <w:szCs w:val="24"/>
        </w:rPr>
        <w:t>6.1. Усі спори, що виникають з цього Договору або пов’язані із ним, вирішуються шляхом переговорів між Сторонами.</w:t>
      </w:r>
    </w:p>
    <w:p>
      <w:pPr>
        <w:pStyle w:val="Normal"/>
        <w:keepLines/>
        <w:widowControl w:val="false"/>
        <w:jc w:val="both"/>
        <w:rPr>
          <w:rFonts w:ascii="Times New Roman" w:hAnsi="Times New Roman" w:eastAsia="Times New Roman"/>
          <w:bCs/>
          <w:sz w:val="24"/>
          <w:szCs w:val="24"/>
        </w:rPr>
      </w:pPr>
      <w:r>
        <w:rPr>
          <w:rFonts w:eastAsia="Times New Roman" w:ascii="Times New Roman" w:hAnsi="Times New Roman"/>
          <w:bCs/>
          <w:sz w:val="24"/>
          <w:szCs w:val="24"/>
        </w:rPr>
        <w:t>6.2.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в Україні законодавства.</w:t>
      </w:r>
    </w:p>
    <w:p>
      <w:pPr>
        <w:pStyle w:val="Normal"/>
        <w:widowControl w:val="false"/>
        <w:spacing w:lineRule="auto" w:line="336"/>
        <w:jc w:val="center"/>
        <w:rPr>
          <w:rFonts w:ascii="Times New Roman" w:hAnsi="Times New Roman" w:eastAsia="Times New Roman"/>
          <w:b/>
          <w:b/>
          <w:sz w:val="24"/>
          <w:szCs w:val="24"/>
        </w:rPr>
      </w:pPr>
      <w:r>
        <w:rPr>
          <w:rFonts w:eastAsia="Times New Roman" w:ascii="Times New Roman" w:hAnsi="Times New Roman"/>
          <w:b/>
          <w:sz w:val="24"/>
          <w:szCs w:val="24"/>
        </w:rPr>
        <w:t>7. КОНФІДЕНЦІЙНІСТЬ</w:t>
      </w:r>
    </w:p>
    <w:p>
      <w:pPr>
        <w:pStyle w:val="Normal"/>
        <w:widowControl w:val="false"/>
        <w:spacing w:lineRule="auto" w:line="336"/>
        <w:jc w:val="both"/>
        <w:rPr>
          <w:rFonts w:ascii="Times New Roman" w:hAnsi="Times New Roman" w:eastAsia="Times New Roman"/>
          <w:sz w:val="24"/>
          <w:szCs w:val="24"/>
        </w:rPr>
      </w:pPr>
      <w:r>
        <w:rPr>
          <w:rFonts w:eastAsia="Times New Roman" w:ascii="Times New Roman" w:hAnsi="Times New Roman"/>
          <w:sz w:val="24"/>
          <w:szCs w:val="24"/>
        </w:rPr>
        <w:t>7.1. Отримана Сторонами інформація стосовно виконання умов даного Договору є конфіденційною.</w:t>
      </w:r>
    </w:p>
    <w:p>
      <w:pPr>
        <w:pStyle w:val="Normal"/>
        <w:keepLines/>
        <w:tabs>
          <w:tab w:val="clear" w:pos="708"/>
          <w:tab w:val="left" w:pos="1440" w:leader="none"/>
        </w:tabs>
        <w:jc w:val="both"/>
        <w:rPr>
          <w:rFonts w:ascii="Times New Roman" w:hAnsi="Times New Roman" w:eastAsia="Times New Roman"/>
          <w:b/>
          <w:b/>
          <w:sz w:val="24"/>
          <w:szCs w:val="24"/>
        </w:rPr>
      </w:pPr>
      <w:r>
        <w:rPr>
          <w:rFonts w:eastAsia="Times New Roman" w:ascii="Times New Roman" w:hAnsi="Times New Roman"/>
          <w:sz w:val="24"/>
          <w:szCs w:val="24"/>
        </w:rPr>
        <w:t>7.2. Сторони зобов’язані приймати всі необхідні заходи для запобігання розголошенню отриманої інформації третім особам, крім випадків, передбачених діючим законодавством України</w:t>
      </w:r>
      <w:r>
        <w:rPr>
          <w:rFonts w:eastAsia="Times New Roman" w:ascii="Times New Roman" w:hAnsi="Times New Roman"/>
          <w:b/>
          <w:sz w:val="24"/>
          <w:szCs w:val="24"/>
        </w:rPr>
        <w:t xml:space="preserve"> </w:t>
      </w:r>
    </w:p>
    <w:p>
      <w:pPr>
        <w:pStyle w:val="Normal"/>
        <w:keepLines/>
        <w:widowControl w:val="false"/>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rmal"/>
        <w:keepLines/>
        <w:widowControl w:val="false"/>
        <w:jc w:val="center"/>
        <w:rPr>
          <w:rFonts w:ascii="Times New Roman" w:hAnsi="Times New Roman" w:eastAsia="Times New Roman"/>
          <w:b/>
          <w:b/>
          <w:sz w:val="24"/>
          <w:szCs w:val="24"/>
        </w:rPr>
      </w:pPr>
      <w:r>
        <w:rPr>
          <w:rFonts w:eastAsia="Times New Roman" w:ascii="Times New Roman" w:hAnsi="Times New Roman"/>
          <w:b/>
          <w:sz w:val="24"/>
          <w:szCs w:val="24"/>
        </w:rPr>
        <w:t>8. ДІЯ ДОГОВОРУ</w:t>
      </w:r>
    </w:p>
    <w:p>
      <w:pPr>
        <w:pStyle w:val="ListParagraph"/>
        <w:keepLines/>
        <w:widowControl w:val="false"/>
        <w:numPr>
          <w:ilvl w:val="1"/>
          <w:numId w:val="9"/>
        </w:numPr>
        <w:spacing w:lineRule="auto" w:line="240" w:before="0" w:after="0"/>
        <w:ind w:left="0" w:hanging="0"/>
        <w:contextualSpacing/>
        <w:jc w:val="both"/>
        <w:rPr>
          <w:rFonts w:ascii="Times New Roman" w:hAnsi="Times New Roman"/>
          <w:bCs/>
          <w:lang w:eastAsia="ru-RU"/>
        </w:rPr>
      </w:pPr>
      <w:r>
        <w:rPr>
          <w:rFonts w:ascii="Times New Roman" w:hAnsi="Times New Roman"/>
          <w:bCs/>
          <w:lang w:eastAsia="ru-RU"/>
        </w:rPr>
        <w:t xml:space="preserve"> </w:t>
      </w:r>
      <w:r>
        <w:rPr>
          <w:rFonts w:ascii="Times New Roman" w:hAnsi="Times New Roman"/>
          <w:bCs/>
          <w:lang w:eastAsia="ru-RU"/>
        </w:rPr>
        <w:t>Цей договір набирає чинності з моменту його підписання та діє до 31.12.2024 року, але в будь-якому випадку до повного виконання Сторонами узятих на себе зобов’язань.</w:t>
      </w:r>
    </w:p>
    <w:p>
      <w:pPr>
        <w:pStyle w:val="ListParagraph"/>
        <w:keepLines/>
        <w:widowControl w:val="false"/>
        <w:numPr>
          <w:ilvl w:val="1"/>
          <w:numId w:val="9"/>
        </w:numPr>
        <w:spacing w:lineRule="auto" w:line="240" w:before="0" w:after="0"/>
        <w:ind w:left="0" w:hanging="0"/>
        <w:contextualSpacing/>
        <w:jc w:val="both"/>
        <w:rPr>
          <w:rFonts w:ascii="Times New Roman" w:hAnsi="Times New Roman"/>
          <w:bCs/>
          <w:lang w:eastAsia="ru-RU"/>
        </w:rPr>
      </w:pPr>
      <w:r>
        <w:rPr>
          <w:rFonts w:ascii="Times New Roman" w:hAnsi="Times New Roman"/>
          <w:bCs/>
          <w:lang w:eastAsia="ru-RU"/>
        </w:rPr>
        <w:t xml:space="preserve"> </w:t>
      </w:r>
      <w:r>
        <w:rPr>
          <w:rFonts w:ascii="Times New Roman" w:hAnsi="Times New Roman"/>
          <w:bCs/>
          <w:lang w:eastAsia="ru-RU"/>
        </w:rPr>
        <w:t xml:space="preserve">Передчасно припинити дію Договору може одна із Сторін, попередивши у письмовій формі іншу Сторону. Договір втрачає чинність через 15 робочих днів після отримання іншою Стороною такого повідомлення (письмової заяви). </w:t>
      </w:r>
    </w:p>
    <w:p>
      <w:pPr>
        <w:pStyle w:val="ListParagraph"/>
        <w:keepLines/>
        <w:widowControl w:val="false"/>
        <w:numPr>
          <w:ilvl w:val="1"/>
          <w:numId w:val="9"/>
        </w:numPr>
        <w:spacing w:lineRule="auto" w:line="240" w:before="0" w:after="0"/>
        <w:ind w:left="0" w:hanging="0"/>
        <w:contextualSpacing/>
        <w:jc w:val="both"/>
        <w:rPr>
          <w:rFonts w:ascii="Times New Roman" w:hAnsi="Times New Roman"/>
          <w:bCs/>
          <w:lang w:eastAsia="ru-RU"/>
        </w:rPr>
      </w:pPr>
      <w:r>
        <w:rPr>
          <w:rFonts w:ascii="Times New Roman" w:hAnsi="Times New Roman"/>
          <w:bCs/>
          <w:lang w:eastAsia="ru-RU"/>
        </w:rPr>
        <w:t xml:space="preserve"> </w:t>
      </w:r>
      <w:r>
        <w:rPr>
          <w:rFonts w:ascii="Times New Roman" w:hAnsi="Times New Roman"/>
          <w:bCs/>
          <w:lang w:eastAsia="ru-RU"/>
        </w:rPr>
        <w:t xml:space="preserve">Договір також вважається розірваним з моменту оформлення Сторонами відповідної додаткової угоди до цього Договору, якщо інше не встановлено у самій додатковій угоді, цьому Договорі або чинному законодавстві України. </w:t>
      </w:r>
    </w:p>
    <w:p>
      <w:pPr>
        <w:pStyle w:val="ListParagraph"/>
        <w:keepLines/>
        <w:widowControl w:val="false"/>
        <w:numPr>
          <w:ilvl w:val="1"/>
          <w:numId w:val="9"/>
        </w:numPr>
        <w:spacing w:lineRule="auto" w:line="240" w:before="0" w:after="0"/>
        <w:ind w:left="0" w:hanging="0"/>
        <w:contextualSpacing/>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які оформлюються додатковою угодою до цього Договору.</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в цьому Договорі або в чинному в Україні законодавстві.</w:t>
      </w:r>
    </w:p>
    <w:p>
      <w:pPr>
        <w:pStyle w:val="Normal"/>
        <w:keepLines/>
        <w:jc w:val="both"/>
        <w:rPr>
          <w:rFonts w:ascii="Times New Roman" w:hAnsi="Times New Roman" w:eastAsia="Times New Roman"/>
          <w:sz w:val="24"/>
          <w:szCs w:val="24"/>
        </w:rPr>
      </w:pPr>
      <w:r>
        <w:rPr>
          <w:rFonts w:eastAsia="Times New Roman" w:ascii="Times New Roman" w:hAnsi="Times New Roman"/>
          <w:sz w:val="24"/>
          <w:szCs w:val="24"/>
        </w:rPr>
      </w:r>
    </w:p>
    <w:p>
      <w:pPr>
        <w:pStyle w:val="ListParagraph"/>
        <w:keepLines/>
        <w:numPr>
          <w:ilvl w:val="0"/>
          <w:numId w:val="9"/>
        </w:numPr>
        <w:spacing w:lineRule="auto" w:line="240" w:before="0" w:after="0"/>
        <w:contextualSpacing/>
        <w:jc w:val="center"/>
        <w:rPr>
          <w:rFonts w:ascii="Times New Roman" w:hAnsi="Times New Roman"/>
          <w:lang w:eastAsia="ru-RU"/>
        </w:rPr>
      </w:pPr>
      <w:r>
        <w:rPr>
          <w:rFonts w:ascii="Times New Roman" w:hAnsi="Times New Roman"/>
          <w:b/>
          <w:lang w:eastAsia="ru-RU"/>
        </w:rPr>
        <w:t>ДОДАТКОВІ УМОВИ ТА ДОМОВЛЕННОСТІ</w:t>
      </w:r>
    </w:p>
    <w:p>
      <w:pPr>
        <w:pStyle w:val="Normal"/>
        <w:keepLines/>
        <w:widowControl w:val="false"/>
        <w:numPr>
          <w:ilvl w:val="1"/>
          <w:numId w:val="7"/>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У разі змін у  прейскуранті, Виконавець зобов’язаний надати  Замовнику додаткову інформацію - попереджує за 15 календарних днів . </w:t>
      </w:r>
    </w:p>
    <w:p>
      <w:pPr>
        <w:pStyle w:val="Normal"/>
        <w:keepLines/>
        <w:widowControl w:val="false"/>
        <w:numPr>
          <w:ilvl w:val="1"/>
          <w:numId w:val="7"/>
        </w:numPr>
        <w:ind w:left="0" w:hanging="0"/>
        <w:jc w:val="both"/>
        <w:rPr>
          <w:rFonts w:ascii="Times New Roman" w:hAnsi="Times New Roman" w:eastAsia="Times New Roman"/>
          <w:sz w:val="24"/>
          <w:szCs w:val="24"/>
        </w:rPr>
      </w:pPr>
      <w:r>
        <w:rPr>
          <w:rFonts w:eastAsia="Times New Roman" w:ascii="Times New Roman" w:hAnsi="Times New Roman"/>
          <w:sz w:val="24"/>
          <w:szCs w:val="24"/>
        </w:rPr>
        <w:t>Замовник надає згоду щодо обробки персональних даних клієнтів Замовника та зберігання електронної бази даних на сервері Виконавця.</w:t>
      </w:r>
    </w:p>
    <w:p>
      <w:pPr>
        <w:pStyle w:val="Normal"/>
        <w:widowControl w:val="false"/>
        <w:numPr>
          <w:ilvl w:val="1"/>
          <w:numId w:val="7"/>
        </w:numPr>
        <w:tabs>
          <w:tab w:val="clear" w:pos="708"/>
          <w:tab w:val="left" w:pos="0" w:leader="none"/>
        </w:tabs>
        <w:ind w:left="0" w:hanging="0"/>
        <w:jc w:val="both"/>
        <w:rPr>
          <w:rFonts w:ascii="Times New Roman" w:hAnsi="Times New Roman" w:eastAsia="Times New Roman"/>
          <w:sz w:val="24"/>
          <w:szCs w:val="24"/>
        </w:rPr>
      </w:pPr>
      <w:r>
        <w:rPr>
          <w:rFonts w:eastAsia="Times New Roman" w:ascii="Times New Roman" w:hAnsi="Times New Roman"/>
          <w:sz w:val="24"/>
          <w:szCs w:val="24"/>
        </w:rPr>
        <w:t>Усі повідомлення, пов’язані з виконанням цього Договору повинні бути зроблені в письмовій/електронній формі і направлені засобами факсимільного зв‘язку, електронною поштою, доставлені особисто або поштою за наведеними нижче реквізитами.</w:t>
      </w:r>
    </w:p>
    <w:p>
      <w:pPr>
        <w:pStyle w:val="Normal"/>
        <w:widowControl w:val="false"/>
        <w:numPr>
          <w:ilvl w:val="2"/>
          <w:numId w:val="7"/>
        </w:numPr>
        <w:tabs>
          <w:tab w:val="clear" w:pos="708"/>
          <w:tab w:val="left" w:pos="0" w:leader="none"/>
        </w:tabs>
        <w:ind w:left="567" w:hanging="567"/>
        <w:jc w:val="both"/>
        <w:rPr>
          <w:rFonts w:ascii="Times New Roman" w:hAnsi="Times New Roman" w:eastAsia="Times New Roman"/>
          <w:sz w:val="24"/>
          <w:szCs w:val="24"/>
        </w:rPr>
      </w:pPr>
      <w:r>
        <w:rPr>
          <w:rFonts w:eastAsia="Times New Roman" w:ascii="Times New Roman" w:hAnsi="Times New Roman"/>
          <w:sz w:val="24"/>
          <w:szCs w:val="24"/>
        </w:rPr>
        <w:t>При направленні Замовником:</w:t>
      </w:r>
    </w:p>
    <w:p>
      <w:pPr>
        <w:pStyle w:val="Normal"/>
        <w:widowControl w:val="false"/>
        <w:rPr>
          <w:rFonts w:ascii="Times New Roman" w:hAnsi="Times New Roman" w:eastAsia="Times New Roman"/>
          <w:sz w:val="24"/>
          <w:szCs w:val="24"/>
        </w:rPr>
      </w:pPr>
      <w:r>
        <w:rPr>
          <w:rFonts w:eastAsia="Times New Roman" w:ascii="Times New Roman" w:hAnsi="Times New Roman"/>
          <w:sz w:val="24"/>
          <w:szCs w:val="24"/>
        </w:rPr>
        <w:t>Адреса факт.:</w:t>
      </w:r>
      <w:r>
        <w:rPr>
          <w:rFonts w:eastAsia="Times New Roman" w:ascii="Times New Roman" w:hAnsi="Times New Roman"/>
          <w:szCs w:val="24"/>
        </w:rPr>
        <w:t xml:space="preserve"> </w:t>
      </w:r>
      <w:r>
        <w:rPr>
          <w:rFonts w:eastAsia="Times New Roman" w:ascii="Times New Roman" w:hAnsi="Times New Roman"/>
          <w:sz w:val="24"/>
          <w:szCs w:val="24"/>
        </w:rPr>
        <w:t>: 78100, Івано-Франківська область, м. Городенка, вул.Шептицького,24-е</w:t>
      </w:r>
    </w:p>
    <w:p>
      <w:pPr>
        <w:pStyle w:val="Normal"/>
        <w:widowControl w:val="false"/>
        <w:tabs>
          <w:tab w:val="clear" w:pos="708"/>
          <w:tab w:val="left" w:pos="732" w:leader="none"/>
          <w:tab w:val="left" w:pos="1092" w:leader="none"/>
        </w:tabs>
        <w:jc w:val="both"/>
        <w:rPr>
          <w:rFonts w:ascii="Times New Roman" w:hAnsi="Times New Roman" w:eastAsia="Times New Roman"/>
          <w:sz w:val="24"/>
          <w:szCs w:val="24"/>
        </w:rPr>
      </w:pPr>
      <w:r>
        <w:rPr>
          <w:rFonts w:eastAsia="Times New Roman" w:ascii="Times New Roman" w:hAnsi="Times New Roman"/>
          <w:sz w:val="24"/>
          <w:szCs w:val="24"/>
        </w:rPr>
        <w:t>Телефон: 0343021092</w:t>
      </w:r>
    </w:p>
    <w:p>
      <w:pPr>
        <w:pStyle w:val="Normal"/>
        <w:widowControl w:val="false"/>
        <w:tabs>
          <w:tab w:val="clear" w:pos="708"/>
          <w:tab w:val="left" w:pos="732" w:leader="none"/>
          <w:tab w:val="left" w:pos="1092" w:leader="none"/>
        </w:tabs>
        <w:jc w:val="both"/>
        <w:rPr/>
      </w:pPr>
      <w:r>
        <w:rPr>
          <w:rFonts w:eastAsia="Times New Roman" w:ascii="Times New Roman" w:hAnsi="Times New Roman"/>
          <w:sz w:val="24"/>
          <w:szCs w:val="24"/>
        </w:rPr>
        <w:t>Електронна пошта</w:t>
      </w:r>
      <w:r>
        <w:rPr/>
        <w:t>: crl-horodenka@ukr.net</w:t>
      </w:r>
    </w:p>
    <w:p>
      <w:pPr>
        <w:pStyle w:val="Normal"/>
        <w:widowControl w:val="false"/>
        <w:numPr>
          <w:ilvl w:val="2"/>
          <w:numId w:val="7"/>
        </w:numPr>
        <w:tabs>
          <w:tab w:val="clear" w:pos="708"/>
          <w:tab w:val="left" w:pos="0" w:leader="none"/>
        </w:tabs>
        <w:ind w:left="567" w:hanging="567"/>
        <w:jc w:val="both"/>
        <w:rPr>
          <w:rFonts w:ascii="Times New Roman" w:hAnsi="Times New Roman" w:eastAsia="Times New Roman"/>
          <w:sz w:val="24"/>
          <w:szCs w:val="24"/>
        </w:rPr>
      </w:pPr>
      <w:r>
        <w:rPr>
          <w:rFonts w:eastAsia="Times New Roman" w:ascii="Times New Roman" w:hAnsi="Times New Roman"/>
          <w:sz w:val="24"/>
          <w:szCs w:val="24"/>
        </w:rPr>
        <w:t>При направленні Виконавцем:</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Адреса факт.:</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 xml:space="preserve">Телефон: </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 xml:space="preserve">Електронна пошта: </w:t>
      </w:r>
    </w:p>
    <w:p>
      <w:pPr>
        <w:pStyle w:val="ListParagraph"/>
        <w:tabs>
          <w:tab w:val="clear" w:pos="708"/>
          <w:tab w:val="left" w:pos="0" w:leader="none"/>
        </w:tabs>
        <w:ind w:left="-426" w:hanging="284"/>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До уваги: Відповідальної особи</w:t>
      </w:r>
    </w:p>
    <w:p>
      <w:pPr>
        <w:pStyle w:val="ListParagraph"/>
        <w:keepLines/>
        <w:widowControl w:val="false"/>
        <w:numPr>
          <w:ilvl w:val="0"/>
          <w:numId w:val="9"/>
        </w:numPr>
        <w:spacing w:lineRule="auto" w:line="240" w:before="0" w:after="0"/>
        <w:contextualSpacing/>
        <w:jc w:val="center"/>
        <w:rPr>
          <w:rFonts w:ascii="Times New Roman" w:hAnsi="Times New Roman"/>
          <w:lang w:eastAsia="ru-RU"/>
        </w:rPr>
      </w:pPr>
      <w:r>
        <w:rPr>
          <w:rFonts w:ascii="Times New Roman" w:hAnsi="Times New Roman"/>
          <w:b/>
          <w:lang w:eastAsia="ru-RU"/>
        </w:rPr>
        <w:t>ФОРС-МАЖОРНІ ОБСТАВИНИ</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Сторони звільняються від відповідальності за часткове та (або) повне невиконання своїх зобов'язань за умовами цього Договору, якщо таке невиконання стало наслідком обставин непереборної сили, що виникли після укладення Договору в результаті подій надзвичайного характеру, яким одна із сторін не змогла запобігти доступними способами.</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До обставин непереборної сили відносяться події, на які сторона не може впливати і за виникнення яких не несе відповідальність, а саме: війна, повстання, страйки на підприємствах сторін і їхніх постачальників, пожежі, вибухи, дорожні події (ситуації які унеможливлюють своєчасне транспортування біологічного матеріалу за обставинами дорожнього руху), аварійне відключення електроенергії, водопостачання, рішення та дії Державних установ, що унеможливлюють виконання зобов’язань Сторін, і всі інші обставини, які визнані офіційно. </w:t>
      </w:r>
    </w:p>
    <w:p>
      <w:pPr>
        <w:pStyle w:val="Normal"/>
        <w:keepLines/>
        <w:widowControl w:val="false"/>
        <w:numPr>
          <w:ilvl w:val="1"/>
          <w:numId w:val="9"/>
        </w:numPr>
        <w:ind w:left="426" w:hanging="426"/>
        <w:jc w:val="both"/>
        <w:rPr>
          <w:rFonts w:ascii="Times New Roman" w:hAnsi="Times New Roman" w:eastAsia="Times New Roman"/>
          <w:sz w:val="24"/>
          <w:szCs w:val="24"/>
        </w:rPr>
      </w:pPr>
      <w:r>
        <w:rPr>
          <w:rFonts w:eastAsia="Times New Roman" w:ascii="Times New Roman" w:hAnsi="Times New Roman"/>
          <w:sz w:val="24"/>
          <w:szCs w:val="24"/>
        </w:rPr>
        <w:t xml:space="preserve">Сторона, яка посилається на обставини непереборної сили зобов’язана інформувати іншу сторону про настання подібних обставин. За запитом одної із сторін Договору, друга зобов’язана надати письмове пояснення (підтвердження) обставин непереборної сили. </w:t>
      </w:r>
    </w:p>
    <w:p>
      <w:pPr>
        <w:pStyle w:val="Normal"/>
        <w:keepLines/>
        <w:widowControl w:val="false"/>
        <w:numPr>
          <w:ilvl w:val="1"/>
          <w:numId w:val="9"/>
        </w:numPr>
        <w:ind w:left="426" w:hanging="426"/>
        <w:jc w:val="both"/>
        <w:rPr>
          <w:rFonts w:ascii="Times New Roman" w:hAnsi="Times New Roman" w:eastAsia="Times New Roman"/>
          <w:sz w:val="24"/>
          <w:szCs w:val="24"/>
        </w:rPr>
      </w:pPr>
      <w:r>
        <w:rPr>
          <w:rFonts w:eastAsia="Times New Roman" w:ascii="Times New Roman" w:hAnsi="Times New Roman"/>
          <w:sz w:val="24"/>
          <w:szCs w:val="24"/>
        </w:rPr>
        <w:t>Правонаступник сторони Договору безпосередньо приймає на себе всі права й обов’язки за цим Договором.</w:t>
      </w:r>
    </w:p>
    <w:p>
      <w:pPr>
        <w:pStyle w:val="Normal"/>
        <w:keepLines/>
        <w:widowControl w:val="false"/>
        <w:numPr>
          <w:ilvl w:val="1"/>
          <w:numId w:val="9"/>
        </w:numPr>
        <w:ind w:left="426" w:hanging="426"/>
        <w:jc w:val="both"/>
        <w:rPr>
          <w:rFonts w:ascii="Times New Roman" w:hAnsi="Times New Roman" w:eastAsia="Times New Roman"/>
          <w:sz w:val="24"/>
          <w:szCs w:val="24"/>
        </w:rPr>
      </w:pPr>
      <w:r>
        <w:rPr>
          <w:rFonts w:eastAsia="Times New Roman" w:ascii="Times New Roman" w:hAnsi="Times New Roman"/>
          <w:sz w:val="24"/>
          <w:szCs w:val="24"/>
        </w:rPr>
        <w:t>Достатнім доказом дії форс-мажорних обставин є документ, виданий Торгово-Промисловою Палатою України.</w:t>
      </w:r>
    </w:p>
    <w:p>
      <w:pPr>
        <w:pStyle w:val="Normal"/>
        <w:keepLines/>
        <w:widowControl w:val="false"/>
        <w:rPr>
          <w:rFonts w:ascii="Times New Roman" w:hAnsi="Times New Roman" w:eastAsia="Times New Roman"/>
          <w:b/>
          <w:b/>
          <w:sz w:val="24"/>
          <w:szCs w:val="24"/>
        </w:rPr>
      </w:pPr>
      <w:r>
        <w:rPr>
          <w:rFonts w:eastAsia="Times New Roman" w:ascii="Times New Roman" w:hAnsi="Times New Roman"/>
          <w:b/>
          <w:sz w:val="24"/>
          <w:szCs w:val="24"/>
        </w:rPr>
      </w:r>
    </w:p>
    <w:p>
      <w:pPr>
        <w:pStyle w:val="Normal"/>
        <w:keepLines/>
        <w:widowControl w:val="false"/>
        <w:numPr>
          <w:ilvl w:val="0"/>
          <w:numId w:val="9"/>
        </w:numPr>
        <w:jc w:val="center"/>
        <w:rPr>
          <w:rFonts w:ascii="Times New Roman" w:hAnsi="Times New Roman" w:eastAsia="Times New Roman"/>
          <w:b/>
          <w:b/>
          <w:sz w:val="24"/>
          <w:szCs w:val="24"/>
        </w:rPr>
      </w:pPr>
      <w:r>
        <w:rPr>
          <w:rFonts w:eastAsia="Times New Roman" w:ascii="Times New Roman" w:hAnsi="Times New Roman"/>
          <w:b/>
          <w:sz w:val="24"/>
          <w:szCs w:val="24"/>
        </w:rPr>
        <w:t>ПРИКІНЦЕВІ ПОЛОЖЕННЯ</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Усі правовідносини, що виникають з цього Договору або пов'язані із ним, у тому числі пов'язані із дією,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Після підписання цього Договору всі попередні пропозиції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Сторони в 5-денний термін з дня зміни будь-яких з відомостей, зазначених в Розділі 12 ("Юридичні адреси, поштові та платіжні реквізити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При підписанні даного Договору Замовник зобов’язується за запитом надати Виконавцю засвідчені належним чином копії наступних документів:</w:t>
      </w:r>
    </w:p>
    <w:p>
      <w:pPr>
        <w:pStyle w:val="Normal"/>
        <w:widowControl w:val="false"/>
        <w:numPr>
          <w:ilvl w:val="0"/>
          <w:numId w:val="6"/>
        </w:numPr>
        <w:shd w:val="clear" w:color="auto" w:fill="FFFFFF"/>
        <w:jc w:val="both"/>
        <w:rPr>
          <w:rFonts w:ascii="Times New Roman" w:hAnsi="Times New Roman" w:eastAsia="Times New Roman"/>
          <w:sz w:val="24"/>
          <w:szCs w:val="24"/>
        </w:rPr>
      </w:pPr>
      <w:r>
        <w:rPr>
          <w:rFonts w:eastAsia="Times New Roman" w:ascii="Times New Roman" w:hAnsi="Times New Roman"/>
          <w:sz w:val="24"/>
          <w:szCs w:val="24"/>
        </w:rPr>
        <w:t>Довідки про включення Замовника до Єдиного державного реєстру підприємств та організацій України;</w:t>
      </w:r>
    </w:p>
    <w:p>
      <w:pPr>
        <w:pStyle w:val="Normal"/>
        <w:widowControl w:val="false"/>
        <w:numPr>
          <w:ilvl w:val="0"/>
          <w:numId w:val="6"/>
        </w:numPr>
        <w:shd w:val="clear" w:color="auto" w:fill="FFFFFF"/>
        <w:jc w:val="both"/>
        <w:rPr>
          <w:rFonts w:ascii="Times New Roman" w:hAnsi="Times New Roman" w:eastAsia="Times New Roman"/>
          <w:sz w:val="24"/>
          <w:szCs w:val="24"/>
        </w:rPr>
      </w:pPr>
      <w:r>
        <w:rPr>
          <w:rFonts w:eastAsia="Times New Roman" w:ascii="Times New Roman" w:hAnsi="Times New Roman"/>
          <w:sz w:val="24"/>
          <w:szCs w:val="24"/>
        </w:rPr>
        <w:t>Ліцензії на здійснення медичної практики та копії ліцензій за іншими видами діяльності;</w:t>
      </w:r>
    </w:p>
    <w:p>
      <w:pPr>
        <w:pStyle w:val="Normal"/>
        <w:widowControl w:val="false"/>
        <w:numPr>
          <w:ilvl w:val="0"/>
          <w:numId w:val="6"/>
        </w:numPr>
        <w:shd w:val="clear" w:color="auto" w:fill="FFFFFF"/>
        <w:jc w:val="both"/>
        <w:rPr>
          <w:rFonts w:ascii="Times New Roman" w:hAnsi="Times New Roman" w:eastAsia="Times New Roman"/>
          <w:sz w:val="24"/>
          <w:szCs w:val="24"/>
        </w:rPr>
      </w:pPr>
      <w:r>
        <w:rPr>
          <w:rFonts w:eastAsia="Times New Roman" w:ascii="Times New Roman" w:hAnsi="Times New Roman"/>
          <w:sz w:val="24"/>
          <w:szCs w:val="24"/>
        </w:rPr>
        <w:t>Документа, що підтверджує податковий статус та взяття на облік Замовника як платника податку;</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Переведення боргу за цим Договором однією із Сторін до третіх осіб допускається виключно за умови письмового погодження цього із іншою Стороною.</w:t>
      </w:r>
    </w:p>
    <w:p>
      <w:pPr>
        <w:pStyle w:val="Normal"/>
        <w:keepLines/>
        <w:widowControl w:val="false"/>
        <w:numPr>
          <w:ilvl w:val="1"/>
          <w:numId w:val="9"/>
        </w:numPr>
        <w:ind w:left="0" w:hanging="0"/>
        <w:jc w:val="both"/>
        <w:rPr>
          <w:rFonts w:ascii="Times New Roman" w:hAnsi="Times New Roman" w:eastAsia="Times New Roman"/>
          <w:b/>
          <w:b/>
          <w:sz w:val="24"/>
          <w:szCs w:val="24"/>
        </w:rPr>
      </w:pPr>
      <w:r>
        <w:rPr>
          <w:rFonts w:eastAsia="Times New Roman" w:ascii="Times New Roman" w:hAnsi="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У випадках, не передбачених даним Договором, Сторони керуються чинним законодавством України. Таке ж правило діє у разі протиріччя частин цього Договору імперативним нормам чинних законодавчих актів України. Недійсність одного з положень Договору не тягне недійсність всього Договору.</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Сторони підтверджують, що досягли згоди по усім істотним умовам Договору.</w:t>
      </w:r>
    </w:p>
    <w:p>
      <w:pPr>
        <w:pStyle w:val="Normal"/>
        <w:keepLines/>
        <w:widowControl w:val="false"/>
        <w:numPr>
          <w:ilvl w:val="1"/>
          <w:numId w:val="9"/>
        </w:numPr>
        <w:ind w:left="0" w:hanging="0"/>
        <w:jc w:val="both"/>
        <w:rPr>
          <w:rFonts w:ascii="Times New Roman" w:hAnsi="Times New Roman" w:eastAsia="Times New Roman"/>
          <w:sz w:val="24"/>
          <w:szCs w:val="24"/>
        </w:rPr>
      </w:pPr>
      <w:r>
        <w:rPr>
          <w:rFonts w:eastAsia="Times New Roman" w:ascii="Times New Roman" w:hAnsi="Times New Roman"/>
          <w:sz w:val="24"/>
          <w:szCs w:val="24"/>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pPr>
        <w:pStyle w:val="Normal"/>
        <w:keepLines/>
        <w:widowControl w:val="false"/>
        <w:ind w:left="426"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numPr>
          <w:ilvl w:val="0"/>
          <w:numId w:val="9"/>
        </w:numPr>
        <w:spacing w:lineRule="auto" w:line="336"/>
        <w:jc w:val="center"/>
        <w:rPr>
          <w:rFonts w:ascii="Times New Roman" w:hAnsi="Times New Roman" w:eastAsia="Times New Roman"/>
          <w:b/>
          <w:b/>
          <w:bCs/>
          <w:color w:val="000000"/>
          <w:spacing w:val="4"/>
          <w:sz w:val="24"/>
          <w:szCs w:val="24"/>
        </w:rPr>
      </w:pPr>
      <w:r>
        <w:rPr>
          <w:rFonts w:eastAsia="Times New Roman" w:ascii="Times New Roman" w:hAnsi="Times New Roman"/>
          <w:b/>
          <w:bCs/>
          <w:color w:val="000000"/>
          <w:spacing w:val="4"/>
          <w:sz w:val="24"/>
          <w:szCs w:val="24"/>
        </w:rPr>
        <w:t>ЮРИДИЧНІ АДРЕСИ, ПОШТОВІ ТА ПЛАТІЖНІ РЕКВІЗИТИ СТОРІН</w:t>
      </w:r>
    </w:p>
    <w:p>
      <w:pPr>
        <w:pStyle w:val="Normal"/>
        <w:rPr>
          <w:rFonts w:ascii="Times New Roman" w:hAnsi="Times New Roman"/>
          <w:b/>
          <w:b/>
          <w:sz w:val="22"/>
          <w:szCs w:val="22"/>
        </w:rPr>
      </w:pPr>
      <w:r>
        <w:rPr>
          <w:rFonts w:ascii="Times New Roman" w:hAnsi="Times New Roman"/>
          <w:b/>
          <w:sz w:val="22"/>
          <w:szCs w:val="22"/>
        </w:rPr>
        <w:t xml:space="preserve">Замовник:     </w:t>
      </w:r>
    </w:p>
    <w:p>
      <w:pPr>
        <w:pStyle w:val="Normal"/>
        <w:rPr>
          <w:rFonts w:ascii="Times New Roman" w:hAnsi="Times New Roman"/>
          <w:b/>
          <w:b/>
          <w:sz w:val="22"/>
          <w:szCs w:val="22"/>
        </w:rPr>
      </w:pPr>
      <w:r>
        <w:rPr>
          <w:rFonts w:ascii="Times New Roman" w:hAnsi="Times New Roman"/>
          <w:b/>
          <w:sz w:val="22"/>
          <w:szCs w:val="22"/>
        </w:rPr>
        <w:t xml:space="preserve">                                                    </w:t>
      </w:r>
      <w:r>
        <w:rPr>
          <w:rFonts w:ascii="Times New Roman" w:hAnsi="Times New Roman"/>
          <w:b/>
          <w:sz w:val="22"/>
          <w:szCs w:val="22"/>
        </w:rPr>
        <w:tab/>
        <w:tab/>
        <w:tab/>
        <w:tab/>
        <w:t xml:space="preserve">    Виконавець:</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КОМУНАЛЬНЕ НЕКОМЕРЦІЙНЕ</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ПІДПРИЄМСТВО «ГОРОДЕНКІВСЬКА</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БАГАТОПРОФІЛЬНА ЛІКАРНЯ </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ІНТЕНСИВНОГО ЛІКУВАННЯ»</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ГОРОДЕНКІВСЬКОЇ МІСЬКОЇ</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РАДИ</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78100, Івано-Франківська обл.,</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Коломийський р-н, м. Городенка</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вул. Шептицького, 24-е</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_____________________________________</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_____________________________________</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ЄДРПОУ 01993428</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ІПН 019934209049</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Директор                      Олександра КОСОВЕЦЬ</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rFonts w:ascii="Times New Roman" w:hAnsi="Times New Roman"/>
          <w:bCs/>
          <w:sz w:val="22"/>
          <w:szCs w:val="22"/>
        </w:rPr>
      </w:pPr>
      <w:r>
        <w:rPr>
          <w:rFonts w:ascii="Times New Roman" w:hAnsi="Times New Roman"/>
          <w:b/>
          <w:bCs/>
          <w:sz w:val="22"/>
          <w:szCs w:val="22"/>
        </w:rPr>
        <w:t>Додаток 1</w:t>
      </w:r>
    </w:p>
    <w:p>
      <w:pPr>
        <w:pStyle w:val="Normal"/>
        <w:jc w:val="right"/>
        <w:rPr>
          <w:rFonts w:ascii="Times New Roman" w:hAnsi="Times New Roman"/>
          <w:bCs/>
          <w:sz w:val="22"/>
          <w:szCs w:val="22"/>
        </w:rPr>
      </w:pPr>
      <w:r>
        <w:rPr>
          <w:rFonts w:ascii="Times New Roman" w:hAnsi="Times New Roman"/>
          <w:b/>
          <w:bCs/>
          <w:sz w:val="22"/>
          <w:szCs w:val="22"/>
        </w:rPr>
        <w:t>до Договору № _________</w:t>
      </w:r>
    </w:p>
    <w:p>
      <w:pPr>
        <w:pStyle w:val="Normal"/>
        <w:ind w:left="5760" w:firstLine="720"/>
        <w:jc w:val="center"/>
        <w:rPr>
          <w:rFonts w:ascii="Times New Roman" w:hAnsi="Times New Roman"/>
          <w:b/>
          <w:b/>
          <w:bCs/>
          <w:sz w:val="22"/>
          <w:szCs w:val="22"/>
        </w:rPr>
      </w:pPr>
      <w:r>
        <w:rPr>
          <w:rFonts w:ascii="Times New Roman" w:hAnsi="Times New Roman"/>
          <w:b/>
          <w:bCs/>
          <w:sz w:val="22"/>
          <w:szCs w:val="22"/>
        </w:rPr>
        <w:t xml:space="preserve">           </w:t>
      </w:r>
      <w:r>
        <w:rPr>
          <w:rFonts w:ascii="Times New Roman" w:hAnsi="Times New Roman"/>
          <w:b/>
          <w:bCs/>
          <w:sz w:val="22"/>
          <w:szCs w:val="22"/>
        </w:rPr>
        <w:t xml:space="preserve">від ____    _______ 2024 р. </w:t>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jc w:val="center"/>
        <w:rPr>
          <w:rFonts w:ascii="Times New Roman" w:hAnsi="Times New Roman"/>
          <w:b/>
          <w:b/>
          <w:bCs/>
          <w:sz w:val="22"/>
          <w:szCs w:val="22"/>
        </w:rPr>
      </w:pPr>
      <w:r>
        <w:rPr>
          <w:rFonts w:ascii="Times New Roman" w:hAnsi="Times New Roman"/>
          <w:b/>
          <w:bCs/>
          <w:sz w:val="22"/>
          <w:szCs w:val="22"/>
        </w:rPr>
        <w:t>СПЕЦИФІКАЦІЯ</w:t>
      </w:r>
    </w:p>
    <w:p>
      <w:pPr>
        <w:pStyle w:val="Normal"/>
        <w:jc w:val="center"/>
        <w:rPr>
          <w:rFonts w:ascii="Times New Roman" w:hAnsi="Times New Roman"/>
          <w:b/>
          <w:b/>
          <w:bCs/>
          <w:sz w:val="22"/>
          <w:szCs w:val="22"/>
        </w:rPr>
      </w:pPr>
      <w:r>
        <w:rPr>
          <w:rFonts w:ascii="Times New Roman" w:hAnsi="Times New Roman"/>
          <w:b/>
          <w:bCs/>
          <w:sz w:val="22"/>
          <w:szCs w:val="22"/>
        </w:rPr>
      </w:r>
    </w:p>
    <w:tbl>
      <w:tblPr>
        <w:tblW w:w="10453" w:type="dxa"/>
        <w:jc w:val="left"/>
        <w:tblInd w:w="-139" w:type="dxa"/>
        <w:tblLayout w:type="fixed"/>
        <w:tblCellMar>
          <w:top w:w="0" w:type="dxa"/>
          <w:left w:w="108" w:type="dxa"/>
          <w:bottom w:w="0" w:type="dxa"/>
          <w:right w:w="108" w:type="dxa"/>
        </w:tblCellMar>
        <w:tblLook w:firstRow="1" w:noVBand="1" w:lastRow="0" w:firstColumn="1" w:lastColumn="0" w:noHBand="0" w:val="04a0"/>
      </w:tblPr>
      <w:tblGrid>
        <w:gridCol w:w="640"/>
        <w:gridCol w:w="3151"/>
        <w:gridCol w:w="1417"/>
        <w:gridCol w:w="992"/>
        <w:gridCol w:w="1135"/>
        <w:gridCol w:w="852"/>
        <w:gridCol w:w="1134"/>
        <w:gridCol w:w="1130"/>
      </w:tblGrid>
      <w:tr>
        <w:trPr/>
        <w:tc>
          <w:tcPr>
            <w:tcW w:w="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п/п</w:t>
            </w:r>
          </w:p>
        </w:tc>
        <w:tc>
          <w:tcPr>
            <w:tcW w:w="31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Найменування послуг</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Одиниця</w:t>
            </w:r>
          </w:p>
          <w:p>
            <w:pPr>
              <w:pStyle w:val="Normal"/>
              <w:widowControl w:val="false"/>
              <w:jc w:val="center"/>
              <w:rPr>
                <w:rFonts w:ascii="Times New Roman" w:hAnsi="Times New Roman"/>
                <w:bCs/>
                <w:sz w:val="24"/>
                <w:szCs w:val="24"/>
              </w:rPr>
            </w:pPr>
            <w:r>
              <w:rPr>
                <w:rFonts w:ascii="Times New Roman" w:hAnsi="Times New Roman"/>
                <w:bCs/>
                <w:sz w:val="24"/>
                <w:szCs w:val="24"/>
              </w:rPr>
              <w:t>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К-ть</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Ціна</w:t>
            </w:r>
          </w:p>
          <w:p>
            <w:pPr>
              <w:pStyle w:val="Normal"/>
              <w:widowControl w:val="false"/>
              <w:jc w:val="center"/>
              <w:rPr>
                <w:rFonts w:ascii="Times New Roman" w:hAnsi="Times New Roman"/>
                <w:bCs/>
                <w:sz w:val="24"/>
                <w:szCs w:val="24"/>
              </w:rPr>
            </w:pPr>
            <w:r>
              <w:rPr>
                <w:rFonts w:ascii="Times New Roman" w:hAnsi="Times New Roman"/>
                <w:bCs/>
                <w:sz w:val="24"/>
                <w:szCs w:val="24"/>
              </w:rPr>
              <w:t>за од. без ПДВ, грн</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Ціна за од. 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Загальна вартість без ПДВ,</w:t>
            </w:r>
          </w:p>
          <w:p>
            <w:pPr>
              <w:pStyle w:val="Normal"/>
              <w:widowControl w:val="false"/>
              <w:jc w:val="center"/>
              <w:rPr>
                <w:rFonts w:ascii="Times New Roman" w:hAnsi="Times New Roman"/>
                <w:bCs/>
                <w:sz w:val="24"/>
                <w:szCs w:val="24"/>
              </w:rPr>
            </w:pPr>
            <w:r>
              <w:rPr>
                <w:rFonts w:ascii="Times New Roman" w:hAnsi="Times New Roman"/>
                <w:bCs/>
                <w:sz w:val="24"/>
                <w:szCs w:val="24"/>
              </w:rPr>
              <w:t>грн</w:t>
            </w:r>
          </w:p>
        </w:tc>
        <w:tc>
          <w:tcPr>
            <w:tcW w:w="11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Cs/>
                <w:sz w:val="24"/>
                <w:szCs w:val="24"/>
              </w:rPr>
            </w:pPr>
            <w:r>
              <w:rPr>
                <w:rFonts w:ascii="Times New Roman" w:hAnsi="Times New Roman"/>
                <w:bCs/>
                <w:sz w:val="24"/>
                <w:szCs w:val="24"/>
              </w:rPr>
              <w:t>Загальна вартість з ПДВ,</w:t>
            </w:r>
          </w:p>
          <w:p>
            <w:pPr>
              <w:pStyle w:val="Normal"/>
              <w:widowControl w:val="false"/>
              <w:jc w:val="center"/>
              <w:rPr>
                <w:rFonts w:ascii="Times New Roman" w:hAnsi="Times New Roman"/>
                <w:bCs/>
                <w:sz w:val="24"/>
                <w:szCs w:val="24"/>
              </w:rPr>
            </w:pPr>
            <w:r>
              <w:rPr>
                <w:rFonts w:ascii="Times New Roman" w:hAnsi="Times New Roman"/>
                <w:bCs/>
                <w:sz w:val="24"/>
                <w:szCs w:val="24"/>
              </w:rPr>
              <w:t>грн</w:t>
            </w:r>
          </w:p>
        </w:tc>
      </w:tr>
      <w:tr>
        <w:trPr>
          <w:trHeight w:val="431" w:hRule="atLeast"/>
        </w:trPr>
        <w:tc>
          <w:tcPr>
            <w:tcW w:w="640"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rPr>
                <w:b/>
                <w:b/>
              </w:rPr>
            </w:pPr>
            <w:r>
              <w:rPr>
                <w:b/>
              </w:rPr>
              <w:t>1</w:t>
            </w:r>
          </w:p>
        </w:tc>
        <w:tc>
          <w:tcPr>
            <w:tcW w:w="3151"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jc w:val="center"/>
              <w:rPr>
                <w:b/>
                <w:b/>
              </w:rPr>
            </w:pPr>
            <w:r>
              <w:rPr>
                <w:b/>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jc w:val="center"/>
              <w:rPr>
                <w:rFonts w:ascii="Times New Roman" w:hAnsi="Times New Roman" w:eastAsia="Times New Roman" w:cs="Times New Roman"/>
                <w:b/>
                <w:b/>
                <w:color w:val="auto"/>
                <w:kern w:val="0"/>
                <w:sz w:val="20"/>
                <w:szCs w:val="20"/>
                <w:lang w:val="en-US" w:eastAsia="ru-RU" w:bidi="ar-SA"/>
              </w:rPr>
            </w:pPr>
            <w:r>
              <w:rPr>
                <w:rFonts w:eastAsia="Times New Roman" w:cs="Times New Roman"/>
                <w:b/>
                <w:color w:val="auto"/>
                <w:kern w:val="0"/>
                <w:sz w:val="20"/>
                <w:szCs w:val="20"/>
                <w:lang w:val="en-US" w:eastAsia="ru-RU" w:bidi="ar-SA"/>
              </w:rPr>
            </w:r>
          </w:p>
        </w:tc>
        <w:tc>
          <w:tcPr>
            <w:tcW w:w="1135"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852"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134"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130"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r>
      <w:tr>
        <w:trPr>
          <w:trHeight w:val="935" w:hRule="atLeast"/>
        </w:trPr>
        <w:tc>
          <w:tcPr>
            <w:tcW w:w="640"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rPr>
                <w:b/>
                <w:b/>
              </w:rPr>
            </w:pPr>
            <w:r>
              <w:rPr>
                <w:b/>
              </w:rPr>
              <w:t>2</w:t>
            </w:r>
          </w:p>
        </w:tc>
        <w:tc>
          <w:tcPr>
            <w:tcW w:w="3151"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417"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280"/>
              <w:jc w:val="center"/>
              <w:rPr>
                <w:b/>
                <w:b/>
              </w:rPr>
            </w:pPr>
            <w:r>
              <w:rPr>
                <w:b/>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jc w:val="center"/>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r>
          </w:p>
        </w:tc>
        <w:tc>
          <w:tcPr>
            <w:tcW w:w="1135"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852"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134"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c>
          <w:tcPr>
            <w:tcW w:w="1130"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rPr>
                <w:b/>
                <w:b/>
              </w:rPr>
            </w:pPr>
            <w:r>
              <w:rPr>
                <w:b/>
              </w:rPr>
            </w:r>
          </w:p>
        </w:tc>
      </w:tr>
      <w:tr>
        <w:trPr>
          <w:trHeight w:val="340" w:hRule="atLeast"/>
        </w:trPr>
        <w:tc>
          <w:tcPr>
            <w:tcW w:w="818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
                <w:bCs/>
                <w:sz w:val="22"/>
                <w:szCs w:val="22"/>
              </w:rPr>
              <w:t>Разом, грн  без ПДВ:</w:t>
            </w:r>
          </w:p>
        </w:tc>
        <w:tc>
          <w:tcPr>
            <w:tcW w:w="22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Cs/>
                <w:sz w:val="22"/>
                <w:szCs w:val="22"/>
              </w:rPr>
            </w:r>
          </w:p>
        </w:tc>
      </w:tr>
      <w:tr>
        <w:trPr>
          <w:trHeight w:val="340" w:hRule="atLeast"/>
        </w:trPr>
        <w:tc>
          <w:tcPr>
            <w:tcW w:w="818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
                <w:bCs/>
                <w:sz w:val="22"/>
                <w:szCs w:val="22"/>
              </w:rPr>
              <w:t>ПДВ, грн:</w:t>
            </w:r>
          </w:p>
        </w:tc>
        <w:tc>
          <w:tcPr>
            <w:tcW w:w="22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Cs/>
                <w:sz w:val="22"/>
                <w:szCs w:val="22"/>
              </w:rPr>
            </w:r>
          </w:p>
        </w:tc>
      </w:tr>
      <w:tr>
        <w:trPr>
          <w:trHeight w:val="340" w:hRule="atLeast"/>
        </w:trPr>
        <w:tc>
          <w:tcPr>
            <w:tcW w:w="818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
                <w:bCs/>
                <w:sz w:val="22"/>
                <w:szCs w:val="22"/>
              </w:rPr>
              <w:t>Разом, грн з ПДВ:</w:t>
            </w:r>
          </w:p>
        </w:tc>
        <w:tc>
          <w:tcPr>
            <w:tcW w:w="22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2"/>
                <w:szCs w:val="22"/>
              </w:rPr>
            </w:pPr>
            <w:r>
              <w:rPr>
                <w:rFonts w:ascii="Times New Roman" w:hAnsi="Times New Roman"/>
                <w:bCs/>
                <w:sz w:val="22"/>
                <w:szCs w:val="22"/>
              </w:rPr>
            </w:r>
          </w:p>
        </w:tc>
      </w:tr>
    </w:tbl>
    <w:p>
      <w:pPr>
        <w:pStyle w:val="Normal"/>
        <w:rPr>
          <w:rFonts w:ascii="Times New Roman" w:hAnsi="Times New Roman"/>
          <w:b/>
          <w:b/>
          <w:sz w:val="22"/>
          <w:szCs w:val="22"/>
        </w:rPr>
      </w:pPr>
      <w:r>
        <w:rPr>
          <w:rFonts w:ascii="Times New Roman" w:hAnsi="Times New Roman"/>
          <w:b/>
          <w:sz w:val="22"/>
          <w:szCs w:val="22"/>
        </w:rPr>
      </w:r>
    </w:p>
    <w:p>
      <w:pPr>
        <w:pStyle w:val="Normal"/>
        <w:rPr>
          <w:rFonts w:ascii="Times New Roman" w:hAnsi="Times New Roman"/>
          <w:b/>
          <w:b/>
          <w:sz w:val="22"/>
          <w:szCs w:val="22"/>
        </w:rPr>
      </w:pPr>
      <w:r>
        <w:rPr>
          <w:rFonts w:ascii="Times New Roman" w:hAnsi="Times New Roman"/>
          <w:b/>
          <w:sz w:val="22"/>
          <w:szCs w:val="22"/>
        </w:rPr>
        <w:t xml:space="preserve">Замовник:     </w:t>
      </w:r>
    </w:p>
    <w:p>
      <w:pPr>
        <w:pStyle w:val="Normal"/>
        <w:rPr>
          <w:rFonts w:ascii="Times New Roman" w:hAnsi="Times New Roman"/>
          <w:b/>
          <w:b/>
          <w:sz w:val="22"/>
          <w:szCs w:val="22"/>
        </w:rPr>
      </w:pPr>
      <w:r>
        <w:rPr>
          <w:rFonts w:ascii="Times New Roman" w:hAnsi="Times New Roman"/>
          <w:b/>
          <w:sz w:val="22"/>
          <w:szCs w:val="22"/>
        </w:rPr>
        <w:t xml:space="preserve">                                                    </w:t>
      </w:r>
      <w:r>
        <w:rPr>
          <w:rFonts w:ascii="Times New Roman" w:hAnsi="Times New Roman"/>
          <w:b/>
          <w:sz w:val="22"/>
          <w:szCs w:val="22"/>
        </w:rPr>
        <w:tab/>
        <w:tab/>
        <w:tab/>
        <w:tab/>
        <w:t xml:space="preserve">    Виконавець:</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КОМУНАЛЬНЕ НЕКОМЕРЦІЙНЕ</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ПІДПРИЄМСТВО «ГОРОДЕНКІВСЬКА</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БАГАТОПРОФІЛЬНА ЛІКАРНЯ </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ІНТЕНСИВНОГО ЛІКУВАННЯ»</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ГОРОДЕНКІВСЬКОЇ МІСЬКОЇ</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РАДИ</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78100, Івано-Франківська обл.,</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Коломийський р-н, м. Городенка</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вул. Шептицького, 24-е</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_____________________________________</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_____________________________________</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ЄДРПОУ 01993428</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ІПН 019934209049</w:t>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Директор                      Олександра КОСОВЕЦЬ</w:t>
      </w:r>
    </w:p>
    <w:sectPr>
      <w:type w:val="nextPage"/>
      <w:pgSz w:w="11906" w:h="16838"/>
      <w:pgMar w:left="1417" w:right="850" w:header="0" w:top="0"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Noto Sans">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lvl w:ilvl="0">
      <w:start w:val="4"/>
      <w:numFmt w:val="none"/>
      <w:suff w:val="nothing"/>
      <w:lvlText w:val=""/>
      <w:lvlJc w:val="left"/>
      <w:pPr>
        <w:tabs>
          <w:tab w:val="num" w:pos="0"/>
        </w:tabs>
        <w:ind w:left="432" w:hanging="432"/>
      </w:pPr>
    </w:lvl>
    <w:lvl w:ilvl="1">
      <w:start w:val="1"/>
      <w:numFmt w:val="decimal"/>
      <w:lvlText w:val="%15.%2."/>
      <w:lvlJc w:val="left"/>
      <w:pPr>
        <w:tabs>
          <w:tab w:val="num" w:pos="432"/>
        </w:tabs>
        <w:ind w:left="432" w:hanging="432"/>
      </w:pPr>
    </w:lvl>
    <w:lvl w:ilvl="2">
      <w:start w:val="1"/>
      <w:numFmt w:val="decimal"/>
      <w:lvlText w:val="%15.%2.%3."/>
      <w:lvlJc w:val="left"/>
      <w:pPr>
        <w:tabs>
          <w:tab w:val="num" w:pos="720"/>
        </w:tabs>
        <w:ind w:left="720" w:hanging="720"/>
      </w:pPr>
    </w:lvl>
    <w:lvl w:ilvl="3">
      <w:start w:val="1"/>
      <w:numFmt w:val="decimal"/>
      <w:lvlText w:val="%15.%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lvl w:ilvl="0">
      <w:start w:val="2"/>
      <w:numFmt w:val="none"/>
      <w:suff w:val="nothing"/>
      <w:lvlText w:val=""/>
      <w:lvlJc w:val="left"/>
      <w:pPr>
        <w:tabs>
          <w:tab w:val="num" w:pos="0"/>
        </w:tabs>
        <w:ind w:left="360" w:hanging="360"/>
      </w:pPr>
    </w:lvl>
    <w:lvl w:ilvl="1">
      <w:start w:val="1"/>
      <w:numFmt w:val="decimal"/>
      <w:lvlText w:val="%13.%2."/>
      <w:lvlJc w:val="left"/>
      <w:pPr>
        <w:tabs>
          <w:tab w:val="num" w:pos="0"/>
        </w:tabs>
        <w:ind w:left="716" w:hanging="432"/>
      </w:pPr>
    </w:lvl>
    <w:lvl w:ilvl="2">
      <w:start w:val="1"/>
      <w:numFmt w:val="decimal"/>
      <w:lvlText w:val="%13.%2.%3."/>
      <w:lvlJc w:val="left"/>
      <w:pPr>
        <w:tabs>
          <w:tab w:val="num" w:pos="0"/>
        </w:tabs>
        <w:ind w:left="504" w:hanging="504"/>
      </w:pPr>
    </w:lvl>
    <w:lvl w:ilvl="3">
      <w:start w:val="1"/>
      <w:numFmt w:val="decimal"/>
      <w:lvlText w:val="%1%4.%2.%3.3."/>
      <w:lvlJc w:val="left"/>
      <w:pPr>
        <w:tabs>
          <w:tab w:val="num" w:pos="0"/>
        </w:tabs>
        <w:ind w:left="1728" w:hanging="648"/>
      </w:pPr>
    </w:lvl>
    <w:lvl w:ilvl="4">
      <w:start w:val="1"/>
      <w:numFmt w:val="decimal"/>
      <w:lvlText w:val="%1%4.%2.%3.3.%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4"/>
      <w:numFmt w:val="decimal"/>
      <w:lvlText w:val="%1."/>
      <w:lvlJc w:val="left"/>
      <w:pPr>
        <w:tabs>
          <w:tab w:val="num" w:pos="0"/>
        </w:tabs>
        <w:ind w:left="360" w:hanging="360"/>
      </w:pPr>
    </w:lvl>
    <w:lvl w:ilvl="1">
      <w:start w:val="4"/>
      <w:numFmt w:val="decimal"/>
      <w:lvlText w:val="4.%2"/>
      <w:lvlJc w:val="left"/>
      <w:pPr>
        <w:tabs>
          <w:tab w:val="num" w:pos="0"/>
        </w:tabs>
        <w:ind w:left="1000" w:hanging="432"/>
      </w:pPr>
    </w:lvl>
    <w:lvl w:ilvl="2">
      <w:start w:val="1"/>
      <w:numFmt w:val="decimal"/>
      <w:lvlText w:val="3.%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false"/>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lvl w:ilvl="0">
      <w:start w:val="2"/>
      <w:numFmt w:val="decimal"/>
      <w:lvlText w:val="%1"/>
      <w:lvlJc w:val="left"/>
      <w:pPr>
        <w:tabs>
          <w:tab w:val="num" w:pos="0"/>
        </w:tabs>
        <w:ind w:left="360" w:hanging="360"/>
      </w:pPr>
    </w:lvl>
    <w:lvl w:ilvl="1">
      <w:start w:val="1"/>
      <w:numFmt w:val="decimal"/>
      <w:lvlText w:val="%1.%2"/>
      <w:lvlJc w:val="left"/>
      <w:pPr>
        <w:tabs>
          <w:tab w:val="num" w:pos="0"/>
        </w:tabs>
        <w:ind w:left="1155" w:hanging="360"/>
      </w:pPr>
    </w:lvl>
    <w:lvl w:ilvl="2">
      <w:start w:val="1"/>
      <w:numFmt w:val="decimal"/>
      <w:lvlText w:val="%1.%2.%3"/>
      <w:lvlJc w:val="left"/>
      <w:pPr>
        <w:tabs>
          <w:tab w:val="num" w:pos="0"/>
        </w:tabs>
        <w:ind w:left="2310" w:hanging="720"/>
      </w:pPr>
    </w:lvl>
    <w:lvl w:ilvl="3">
      <w:start w:val="1"/>
      <w:numFmt w:val="decimal"/>
      <w:lvlText w:val="%1.%2.%3.%4"/>
      <w:lvlJc w:val="left"/>
      <w:pPr>
        <w:tabs>
          <w:tab w:val="num" w:pos="0"/>
        </w:tabs>
        <w:ind w:left="3105" w:hanging="720"/>
      </w:pPr>
    </w:lvl>
    <w:lvl w:ilvl="4">
      <w:start w:val="1"/>
      <w:numFmt w:val="decimal"/>
      <w:lvlText w:val="%1.%2.%3.%4.%5"/>
      <w:lvlJc w:val="left"/>
      <w:pPr>
        <w:tabs>
          <w:tab w:val="num" w:pos="0"/>
        </w:tabs>
        <w:ind w:left="4260" w:hanging="1080"/>
      </w:pPr>
    </w:lvl>
    <w:lvl w:ilvl="5">
      <w:start w:val="1"/>
      <w:numFmt w:val="decimal"/>
      <w:lvlText w:val="%1.%2.%3.%4.%5.%6"/>
      <w:lvlJc w:val="left"/>
      <w:pPr>
        <w:tabs>
          <w:tab w:val="num" w:pos="0"/>
        </w:tabs>
        <w:ind w:left="505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7005" w:hanging="1440"/>
      </w:pPr>
    </w:lvl>
    <w:lvl w:ilvl="8">
      <w:start w:val="1"/>
      <w:numFmt w:val="decimal"/>
      <w:lvlText w:val="%1.%2.%3.%4.%5.%6.%7.%8.%9"/>
      <w:lvlJc w:val="left"/>
      <w:pPr>
        <w:tabs>
          <w:tab w:val="num" w:pos="0"/>
        </w:tabs>
        <w:ind w:left="8160" w:hanging="1800"/>
      </w:pPr>
    </w:lvl>
  </w:abstractNum>
  <w:abstractNum w:abstractNumId="9">
    <w:lvl w:ilvl="0">
      <w:start w:val="8"/>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false"/>
        <w:bCs w:val="false"/>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0">
    <w:lvl w:ilvl="0">
      <w:start w:val="4"/>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69f6"/>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0"/>
      <w:szCs w:val="20"/>
      <w:lang w:val="uk-UA" w:eastAsia="ru-RU" w:bidi="ar-SA"/>
    </w:rPr>
  </w:style>
  <w:style w:type="character" w:styleId="DefaultParagraphFont" w:default="1">
    <w:name w:val="Default Paragraph Font"/>
    <w:uiPriority w:val="1"/>
    <w:semiHidden/>
    <w:unhideWhenUsed/>
    <w:qFormat/>
    <w:rPr/>
  </w:style>
  <w:style w:type="character" w:styleId="Style14" w:customStyle="1">
    <w:name w:val="Абзац списку Знак"/>
    <w:link w:val="a3"/>
    <w:uiPriority w:val="34"/>
    <w:qFormat/>
    <w:locked/>
    <w:rsid w:val="00ce69f6"/>
    <w:rPr>
      <w:rFonts w:ascii="Calibri" w:hAnsi="Calibri" w:eastAsia="Calibri" w:cs="Times New Roman"/>
      <w:szCs w:val="20"/>
    </w:rPr>
  </w:style>
  <w:style w:type="character" w:styleId="Style15">
    <w:name w:val="Гіперпосилання"/>
    <w:uiPriority w:val="99"/>
    <w:rsid w:val="00ce69f6"/>
    <w:rPr>
      <w:color w:val="0000FF"/>
      <w:u w:val="single"/>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uk-UA"/>
    </w:rPr>
  </w:style>
  <w:style w:type="character" w:styleId="Appletabspan">
    <w:name w:val="apple-tab-span"/>
    <w:qFormat/>
    <w:rPr/>
  </w:style>
  <w:style w:type="character" w:styleId="Style16">
    <w:name w:val="Без интервала Знак"/>
    <w:qFormat/>
    <w:rPr/>
  </w:style>
  <w:style w:type="character" w:styleId="Style17">
    <w:name w:val="Строгий"/>
    <w:qFormat/>
    <w:rPr>
      <w:rFonts w:cs="Times New Roman"/>
      <w:b/>
    </w:rPr>
  </w:style>
  <w:style w:type="character" w:styleId="1">
    <w:name w:val="Обычный (веб) Знак1"/>
    <w:qFormat/>
    <w:rPr>
      <w:rFonts w:ascii="Times New Roman" w:hAnsi="Times New Roman" w:eastAsia="Times New Roman" w:cs="Times New Roman"/>
      <w:sz w:val="24"/>
    </w:rPr>
  </w:style>
  <w:style w:type="character" w:styleId="Style18">
    <w:name w:val="Текст выноски Знак"/>
    <w:qFormat/>
    <w:rPr>
      <w:rFonts w:ascii="Tahoma" w:hAnsi="Tahoma" w:eastAsia="Tahoma" w:cs="Times New Roman"/>
      <w:sz w:val="16"/>
      <w:lang w:eastAsia="en-US"/>
    </w:rPr>
  </w:style>
  <w:style w:type="character" w:styleId="HTML1">
    <w:name w:val="Стандартный HTML Знак1"/>
    <w:qFormat/>
    <w:rPr>
      <w:rFonts w:ascii="Courier New" w:hAnsi="Courier New" w:eastAsia="Courier New" w:cs="Courier New"/>
      <w:lang w:eastAsia="en-US"/>
    </w:rPr>
  </w:style>
  <w:style w:type="character" w:styleId="Xfm01677869">
    <w:name w:val="xfm_01677869"/>
    <w:qFormat/>
    <w:rPr/>
  </w:style>
  <w:style w:type="character" w:styleId="Rvts46">
    <w:name w:val="rvts46"/>
    <w:qFormat/>
    <w:rPr>
      <w:rFonts w:cs="Times New Roman"/>
    </w:rPr>
  </w:style>
  <w:style w:type="character" w:styleId="Style19">
    <w:name w:val="Основной текст Знак"/>
    <w:qFormat/>
    <w:rPr>
      <w:sz w:val="22"/>
      <w:szCs w:val="22"/>
    </w:rPr>
  </w:style>
  <w:style w:type="character" w:styleId="4B4tuuyuwy444">
    <w:name w:val="В4Bы4・дt?еu?л|?еu?н~?иy?еu ?жw?иy?р・4н?4ы4]м"/>
    <w:qFormat/>
    <w:rPr>
      <w:b/>
    </w:rPr>
  </w:style>
  <w:style w:type="character" w:styleId="Rvts9">
    <w:name w:val="rvts9"/>
    <w:qFormat/>
    <w:rPr>
      <w:rFonts w:cs="Times New Roman"/>
    </w:rPr>
  </w:style>
  <w:style w:type="character" w:styleId="Rvts23">
    <w:name w:val="rvts23"/>
    <w:qFormat/>
    <w:rPr>
      <w:rFonts w:cs="Times New Roman"/>
    </w:rPr>
  </w:style>
  <w:style w:type="character" w:styleId="Style20">
    <w:name w:val="Верхний колонтитул Знак"/>
    <w:qFormat/>
    <w:rPr>
      <w:rFonts w:ascii="Calibri" w:hAnsi="Calibri" w:eastAsia="Calibri" w:cs="0"/>
      <w:sz w:val="22"/>
      <w:szCs w:val="22"/>
      <w:lang w:eastAsia="en-US"/>
    </w:rPr>
  </w:style>
  <w:style w:type="character" w:styleId="11">
    <w:name w:val="Верхний колонтитул Знак1"/>
    <w:qFormat/>
    <w:rPr>
      <w:sz w:val="22"/>
      <w:szCs w:val="22"/>
    </w:rPr>
  </w:style>
  <w:style w:type="character" w:styleId="Style21">
    <w:name w:val="Нижний колонтитул Знак"/>
    <w:qFormat/>
    <w:rPr>
      <w:rFonts w:ascii="Calibri" w:hAnsi="Calibri" w:eastAsia="Calibri" w:cs="0"/>
      <w:sz w:val="22"/>
      <w:szCs w:val="22"/>
      <w:lang w:eastAsia="en-US"/>
    </w:rPr>
  </w:style>
  <w:style w:type="character" w:styleId="12">
    <w:name w:val="Нижний колонтитул Знак1"/>
    <w:qFormat/>
    <w:rPr>
      <w:sz w:val="22"/>
      <w:szCs w:val="22"/>
    </w:rPr>
  </w:style>
  <w:style w:type="character" w:styleId="Subject">
    <w:name w:val="subject"/>
    <w:qFormat/>
    <w:rPr/>
  </w:style>
  <w:style w:type="character" w:styleId="2">
    <w:name w:val="Основной текст (2)_"/>
    <w:qFormat/>
    <w:rPr>
      <w:rFonts w:ascii="Arial" w:hAnsi="Arial" w:eastAsia="Arial" w:cs="Arial"/>
      <w:sz w:val="12"/>
      <w:szCs w:val="12"/>
      <w:shd w:fill="FFFFFF" w:val="clear"/>
    </w:rPr>
  </w:style>
  <w:style w:type="character" w:styleId="Hhidden">
    <w:name w:val="h-hidden"/>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Noto Sans" w:hAnsi="Noto Sans" w:eastAsia="Noto Sans" w:cs="Noto Sans"/>
      <w:color w:val="000000"/>
      <w:sz w:val="20"/>
      <w:szCs w:val="20"/>
    </w:rPr>
  </w:style>
  <w:style w:type="character" w:styleId="WW8Num3z1">
    <w:name w:val="WW8Num3z1"/>
    <w:qFormat/>
    <w:rPr>
      <w:rFonts w:ascii="Courier New" w:hAnsi="Courier New" w:eastAsia="Courier New" w:cs="Courier New"/>
      <w:sz w:val="20"/>
      <w:szCs w:val="20"/>
    </w:rPr>
  </w:style>
  <w:style w:type="character" w:styleId="WW8Num3z2">
    <w:name w:val="WW8Num3z2"/>
    <w:qFormat/>
    <w:rPr>
      <w:rFonts w:ascii="Noto Sans" w:hAnsi="Noto Sans" w:eastAsia="Noto Sans" w:cs="Noto Sans"/>
      <w:sz w:val="20"/>
      <w:szCs w:val="20"/>
    </w:rPr>
  </w:style>
  <w:style w:type="character" w:styleId="WW8Num4z0">
    <w:name w:val="WW8Num4z0"/>
    <w:qFormat/>
    <w:rPr>
      <w:rFonts w:ascii="Times New Roman" w:hAnsi="Times New Roman" w:eastAsia="Times New Roman" w:cs="Times New Roman"/>
      <w:strike w:val="false"/>
      <w:dstrike w:val="false"/>
      <w:color w:val="000000"/>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2">
    <w:name w:val="WW8Num5z2"/>
    <w:qFormat/>
    <w:rPr>
      <w:rFonts w:ascii="OpenSymbol" w:hAnsi="OpenSymbol" w:eastAsia="OpenSymbol" w:cs="Courier New"/>
      <w:sz w:val="20"/>
      <w:szCs w:val="20"/>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2">
    <w:name w:val="WW8Num6z2"/>
    <w:qFormat/>
    <w:rPr>
      <w:rFonts w:ascii="OpenSymbol" w:hAnsi="OpenSymbol" w:eastAsia="OpenSymbol" w:cs="Courier New"/>
      <w:sz w:val="20"/>
      <w:szCs w:val="20"/>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color w:val="000000"/>
    </w:rPr>
  </w:style>
  <w:style w:type="character" w:styleId="WW8Num8z0">
    <w:name w:val="WW8Num8z0"/>
    <w:qFormat/>
    <w:rPr/>
  </w:style>
  <w:style w:type="character" w:styleId="WW8Num10z0">
    <w:name w:val="WW8Num10z0"/>
    <w:qFormat/>
    <w:rPr/>
  </w:style>
  <w:style w:type="character" w:styleId="WW8Num11z0">
    <w:name w:val="WW8Num11z0"/>
    <w:qFormat/>
    <w:rPr/>
  </w:style>
  <w:style w:type="character" w:styleId="WW8Num8z1">
    <w:name w:val="WW8Num8z1"/>
    <w:qFormat/>
    <w:rPr>
      <w:rFonts w:ascii="Times New Roman" w:hAnsi="Times New Roman" w:eastAsia="Calibri" w:cs="Times New Roman"/>
      <w:lang w:val="uk-UA" w:eastAsia="uk-UA"/>
    </w:rPr>
  </w:style>
  <w:style w:type="character" w:styleId="WW8Num12z0">
    <w:name w:val="WW8Num12z0"/>
    <w:qFormat/>
    <w:rPr/>
  </w:style>
  <w:style w:type="character" w:styleId="WW8Num15z0">
    <w:name w:val="WW8Num1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uk-UA" w:bidi="uk-UA"/>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rFonts w:ascii="Times New Roman" w:hAnsi="Times New Roman" w:eastAsia="Calibri" w:cs="Times New Roman"/>
      <w:lang w:val="uk-UA" w:eastAsia="uk-UA"/>
    </w:rPr>
  </w:style>
  <w:style w:type="character" w:styleId="WW8Num18z0">
    <w:name w:val="WW8Num18z0"/>
    <w:qFormat/>
    <w:rPr>
      <w:color w:val="000000"/>
    </w:rPr>
  </w:style>
  <w:style w:type="character" w:styleId="WW8Num18z1">
    <w:name w:val="WW8Num18z1"/>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7z1">
    <w:name w:val="WW8Num7z1"/>
    <w:qFormat/>
    <w:rPr>
      <w:rFonts w:ascii="Times New Roman" w:hAnsi="Times New Roman" w:eastAsia="Times New Roman" w:cs="Times New Roman"/>
      <w:lang w:val="uk-UA"/>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0z1">
    <w:name w:val="WW8Num10z1"/>
    <w:qFormat/>
    <w:rPr>
      <w:rFonts w:ascii="Times New Roman" w:hAnsi="Times New Roman" w:eastAsia="Calibri" w:cs="Times New Roman"/>
      <w:lang w:val="uk-UA"/>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rFonts w:ascii="Courier New" w:hAnsi="Courier New" w:eastAsia="Courier New" w:cs="Courier New"/>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6z1">
    <w:name w:val="WW8Num16z1"/>
    <w:qFormat/>
    <w:rPr>
      <w:rFonts w:ascii="Courier New" w:hAnsi="Courier New" w:eastAsia="Courier New" w:cs="Courier New"/>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20z0">
    <w:name w:val="WW8Num20z0"/>
    <w:qFormat/>
    <w:rPr>
      <w:color w:val="000000"/>
    </w:rPr>
  </w:style>
  <w:style w:type="character" w:styleId="WW8Num20z1">
    <w:name w:val="WW8Num20z1"/>
    <w:qFormat/>
    <w:rPr/>
  </w:style>
  <w:style w:type="character" w:styleId="Style22">
    <w:name w:val="Шрифт абзацу за промовчанням"/>
    <w:qFormat/>
    <w:rPr/>
  </w:style>
  <w:style w:type="character" w:styleId="Style23">
    <w:name w:val="Верхній колонтитул Знак"/>
    <w:qFormat/>
    <w:rPr>
      <w:rFonts w:cs="Times New Roman"/>
    </w:rPr>
  </w:style>
  <w:style w:type="character" w:styleId="Style24">
    <w:name w:val="Нижній колонтитул Знак"/>
    <w:qFormat/>
    <w:rPr>
      <w:rFonts w:cs="Times New Roman"/>
    </w:rPr>
  </w:style>
  <w:style w:type="character" w:styleId="Rvts0">
    <w:name w:val="rvts0"/>
    <w:qFormat/>
    <w:rPr>
      <w:rFonts w:cs="Times New Roman"/>
    </w:rPr>
  </w:style>
  <w:style w:type="character" w:styleId="Style25">
    <w:name w:val="Схема документа Знак"/>
    <w:qFormat/>
    <w:rPr>
      <w:rFonts w:ascii="Times New Roman" w:hAnsi="Times New Roman" w:eastAsia="Times New Roman" w:cs="Times New Roman"/>
      <w:sz w:val="2"/>
      <w:szCs w:val="2"/>
    </w:rPr>
  </w:style>
  <w:style w:type="character" w:styleId="Appleconvertedspace">
    <w:name w:val="apple-converted-space"/>
    <w:qFormat/>
    <w:rPr>
      <w:rFonts w:cs="Times New Roman"/>
    </w:rPr>
  </w:style>
  <w:style w:type="character" w:styleId="Style26">
    <w:name w:val="Текст у виносці Знак"/>
    <w:qFormat/>
    <w:rPr>
      <w:rFonts w:ascii="Tahoma" w:hAnsi="Tahoma" w:eastAsia="Tahoma" w:cs="Tahoma"/>
      <w:sz w:val="16"/>
      <w:szCs w:val="16"/>
    </w:rPr>
  </w:style>
  <w:style w:type="character" w:styleId="6">
    <w:name w:val="Заголовок 6 Знак"/>
    <w:qFormat/>
    <w:rPr>
      <w:b/>
      <w:bCs/>
    </w:rPr>
  </w:style>
  <w:style w:type="character" w:styleId="21">
    <w:name w:val="Основний текст 2 Знак"/>
    <w:qFormat/>
    <w:rPr>
      <w:sz w:val="22"/>
      <w:szCs w:val="22"/>
      <w:lang w:val="uk-UA"/>
    </w:rPr>
  </w:style>
  <w:style w:type="character" w:styleId="Style27">
    <w:name w:val="Название Знак"/>
    <w:qFormat/>
    <w:rPr>
      <w:rFonts w:ascii="Arial" w:hAnsi="Arial" w:eastAsia="Times New Roman" w:cs="Arial"/>
      <w:b/>
      <w:sz w:val="18"/>
      <w:lang w:val="uk-UA"/>
    </w:rPr>
  </w:style>
  <w:style w:type="character" w:styleId="Style28">
    <w:name w:val="Підзаголовок Знак"/>
    <w:qFormat/>
    <w:rPr>
      <w:rFonts w:ascii="Cambria" w:hAnsi="Cambria" w:eastAsia="Times New Roman" w:cs="Cambria"/>
      <w:sz w:val="24"/>
      <w:szCs w:val="24"/>
    </w:rPr>
  </w:style>
  <w:style w:type="character" w:styleId="Style29">
    <w:name w:val="Назва Знак"/>
    <w:qFormat/>
    <w:rPr>
      <w:rFonts w:ascii="Cambria" w:hAnsi="Cambria" w:eastAsia="Times New Roman" w:cs="Cambria"/>
      <w:b/>
      <w:bCs/>
      <w:kern w:val="2"/>
      <w:sz w:val="32"/>
      <w:szCs w:val="32"/>
    </w:rPr>
  </w:style>
  <w:style w:type="character" w:styleId="13">
    <w:name w:val="Знак примітки1"/>
    <w:qFormat/>
    <w:rPr>
      <w:sz w:val="16"/>
      <w:szCs w:val="16"/>
    </w:rPr>
  </w:style>
  <w:style w:type="character" w:styleId="Style30">
    <w:name w:val="Текст примітки Знак"/>
    <w:qFormat/>
    <w:rPr/>
  </w:style>
  <w:style w:type="character" w:styleId="14">
    <w:name w:val="Заголовок 1 Знак"/>
    <w:qFormat/>
    <w:rPr>
      <w:rFonts w:ascii="Cambria" w:hAnsi="Cambria" w:eastAsia="Times New Roman" w:cs="Cambria"/>
      <w:b/>
      <w:bCs/>
      <w:kern w:val="2"/>
      <w:sz w:val="32"/>
      <w:szCs w:val="32"/>
    </w:rPr>
  </w:style>
  <w:style w:type="character" w:styleId="22">
    <w:name w:val="Заголовок 2 Знак"/>
    <w:qFormat/>
    <w:rPr>
      <w:rFonts w:ascii="Cambria" w:hAnsi="Cambria" w:eastAsia="Times New Roman" w:cs="Cambria"/>
      <w:b/>
      <w:bCs/>
      <w:i/>
      <w:iCs/>
      <w:sz w:val="28"/>
      <w:szCs w:val="28"/>
    </w:rPr>
  </w:style>
  <w:style w:type="character" w:styleId="3">
    <w:name w:val="Заголовок 3 Знак"/>
    <w:qFormat/>
    <w:rPr>
      <w:rFonts w:ascii="Cambria" w:hAnsi="Cambria" w:eastAsia="Times New Roman" w:cs="Cambria"/>
      <w:b/>
      <w:bCs/>
      <w:sz w:val="26"/>
      <w:szCs w:val="26"/>
    </w:rPr>
  </w:style>
  <w:style w:type="character" w:styleId="4">
    <w:name w:val="Заголовок 4 Знак"/>
    <w:qFormat/>
    <w:rPr>
      <w:b/>
      <w:bCs/>
      <w:sz w:val="28"/>
      <w:szCs w:val="28"/>
    </w:rPr>
  </w:style>
  <w:style w:type="character" w:styleId="5">
    <w:name w:val="Заголовок 5 Знак"/>
    <w:qFormat/>
    <w:rPr>
      <w:b/>
      <w:bCs/>
      <w:i/>
      <w:iCs/>
      <w:sz w:val="26"/>
      <w:szCs w:val="26"/>
    </w:rPr>
  </w:style>
  <w:style w:type="character" w:styleId="7">
    <w:name w:val="Заголовок 7 Знак"/>
    <w:qFormat/>
    <w:rPr>
      <w:sz w:val="24"/>
      <w:szCs w:val="24"/>
    </w:rPr>
  </w:style>
  <w:style w:type="character" w:styleId="8">
    <w:name w:val="Заголовок 8 Знак"/>
    <w:qFormat/>
    <w:rPr>
      <w:i/>
      <w:iCs/>
      <w:sz w:val="24"/>
      <w:szCs w:val="24"/>
    </w:rPr>
  </w:style>
  <w:style w:type="character" w:styleId="9">
    <w:name w:val="Заголовок 9 Знак"/>
    <w:qFormat/>
    <w:rPr>
      <w:rFonts w:ascii="Cambria" w:hAnsi="Cambria" w:eastAsia="Times New Roman" w:cs="Cambria"/>
    </w:rPr>
  </w:style>
  <w:style w:type="character" w:styleId="Style31">
    <w:name w:val="Цитата Знак"/>
    <w:qFormat/>
    <w:rPr>
      <w:i/>
      <w:sz w:val="24"/>
      <w:szCs w:val="24"/>
    </w:rPr>
  </w:style>
  <w:style w:type="character" w:styleId="Style32">
    <w:name w:val="Насичена цитата Знак"/>
    <w:qFormat/>
    <w:rPr>
      <w:b/>
      <w:i/>
      <w:sz w:val="24"/>
    </w:rPr>
  </w:style>
  <w:style w:type="character" w:styleId="Style33">
    <w:name w:val="Слабке виокремлення"/>
    <w:qFormat/>
    <w:rPr>
      <w:i/>
      <w:color w:val="5A5A5A"/>
    </w:rPr>
  </w:style>
  <w:style w:type="character" w:styleId="Style34">
    <w:name w:val="Сильне виокремлення"/>
    <w:qFormat/>
    <w:rPr>
      <w:b/>
      <w:i/>
      <w:sz w:val="24"/>
      <w:szCs w:val="24"/>
      <w:u w:val="single"/>
    </w:rPr>
  </w:style>
  <w:style w:type="character" w:styleId="Style35">
    <w:name w:val="Слабке посилання"/>
    <w:qFormat/>
    <w:rPr>
      <w:sz w:val="24"/>
      <w:szCs w:val="24"/>
      <w:u w:val="single"/>
    </w:rPr>
  </w:style>
  <w:style w:type="character" w:styleId="Style36">
    <w:name w:val="Сильне посилання"/>
    <w:qFormat/>
    <w:rPr>
      <w:b/>
      <w:sz w:val="24"/>
      <w:u w:val="single"/>
    </w:rPr>
  </w:style>
  <w:style w:type="character" w:styleId="Style37">
    <w:name w:val="Назва книги"/>
    <w:qFormat/>
    <w:rPr>
      <w:rFonts w:ascii="Cambria" w:hAnsi="Cambria" w:eastAsia="Times New Roman" w:cs="Cambria"/>
      <w:b/>
      <w:i/>
      <w:sz w:val="24"/>
      <w:szCs w:val="24"/>
    </w:rPr>
  </w:style>
  <w:style w:type="character" w:styleId="Style38">
    <w:name w:val="Звичайний (веб) Знак"/>
    <w:qFormat/>
    <w:rPr>
      <w:rFonts w:ascii="Times New Roman" w:hAnsi="Times New Roman" w:eastAsia="Times New Roman" w:cs="Times New Roman"/>
      <w:sz w:val="24"/>
      <w:szCs w:val="24"/>
    </w:rPr>
  </w:style>
  <w:style w:type="character" w:styleId="23">
    <w:name w:val="Основний текст з відступом 2 Знак"/>
    <w:qFormat/>
    <w:rPr>
      <w:rFonts w:ascii="Times New Roman" w:hAnsi="Times New Roman" w:eastAsia="Times New Roman" w:cs="Times New Roman"/>
      <w:sz w:val="24"/>
      <w:szCs w:val="24"/>
    </w:rPr>
  </w:style>
  <w:style w:type="character" w:styleId="HTML">
    <w:name w:val="Стандартный HTML Знак"/>
    <w:qFormat/>
    <w:rPr>
      <w:rFonts w:ascii="Courier New" w:hAnsi="Courier New" w:eastAsia="Courier New" w:cs="Courier New"/>
    </w:rPr>
  </w:style>
  <w:style w:type="character" w:styleId="HTML2">
    <w:name w:val="Стандартний HTML Знак"/>
    <w:qFormat/>
    <w:rPr>
      <w:rFonts w:ascii="Courier New" w:hAnsi="Courier New" w:eastAsia="Courier New" w:cs="Courier New"/>
      <w:color w:val="000000"/>
      <w:sz w:val="21"/>
      <w:szCs w:val="21"/>
    </w:rPr>
  </w:style>
  <w:style w:type="character" w:styleId="Style39">
    <w:name w:val="Основний текст Знак"/>
    <w:qFormat/>
    <w:rPr>
      <w:sz w:val="24"/>
      <w:szCs w:val="24"/>
    </w:rPr>
  </w:style>
  <w:style w:type="character" w:styleId="15">
    <w:name w:val="Основной текст Знак1"/>
    <w:qFormat/>
    <w:rPr>
      <w:sz w:val="24"/>
      <w:szCs w:val="24"/>
    </w:rPr>
  </w:style>
  <w:style w:type="character" w:styleId="Hyperlink2">
    <w:name w:val="Hyperlink.2"/>
    <w:qFormat/>
    <w:rPr>
      <w:lang w:val="ru-RU"/>
    </w:rPr>
  </w:style>
  <w:style w:type="character" w:styleId="Style40">
    <w:name w:val="Основний текст з відступом Знак"/>
    <w:qFormat/>
    <w:rPr>
      <w:sz w:val="24"/>
      <w:szCs w:val="24"/>
    </w:rPr>
  </w:style>
  <w:style w:type="character" w:styleId="WW8Num2z1">
    <w:name w:val="WW8Num2z1"/>
    <w:qFormat/>
    <w:rPr>
      <w:rFonts w:ascii="Courier New" w:hAnsi="Courier New" w:eastAsia="Courier New" w:cs="Courier New"/>
    </w:rPr>
  </w:style>
  <w:style w:type="character" w:styleId="WW8Num2z0">
    <w:name w:val="WW8Num2z0"/>
    <w:qFormat/>
    <w:rPr>
      <w:rFonts w:ascii="Times New Roman" w:hAnsi="Times New Roman" w:eastAsia="Times New Roman" w:cs="Times New Roman"/>
      <w:lang w:val="uk-UA"/>
    </w:rPr>
  </w:style>
  <w:style w:type="character" w:styleId="Style41">
    <w:name w:val="Шрифт абзацу за замовчуванням"/>
    <w:qFormat/>
    <w:rPr/>
  </w:style>
  <w:style w:type="paragraph" w:styleId="Style42">
    <w:name w:val="Заголовок"/>
    <w:basedOn w:val="Normal"/>
    <w:next w:val="Style43"/>
    <w:qFormat/>
    <w:pPr>
      <w:keepNext w:val="true"/>
      <w:spacing w:before="240" w:after="120"/>
    </w:pPr>
    <w:rPr>
      <w:rFonts w:ascii="Liberation Sans" w:hAnsi="Liberation Sans" w:eastAsia="Microsoft YaHei" w:cs="Arial"/>
      <w:sz w:val="28"/>
      <w:szCs w:val="28"/>
    </w:rPr>
  </w:style>
  <w:style w:type="paragraph" w:styleId="Style43">
    <w:name w:val="Body Text"/>
    <w:basedOn w:val="Normal"/>
    <w:pPr>
      <w:spacing w:lineRule="auto" w:line="276" w:before="0" w:after="140"/>
    </w:pPr>
    <w:rPr/>
  </w:style>
  <w:style w:type="paragraph" w:styleId="Style44">
    <w:name w:val="List"/>
    <w:basedOn w:val="Style43"/>
    <w:pPr/>
    <w:rPr>
      <w:rFonts w:cs="Arial"/>
    </w:rPr>
  </w:style>
  <w:style w:type="paragraph" w:styleId="Style45">
    <w:name w:val="Caption"/>
    <w:basedOn w:val="Normal"/>
    <w:qFormat/>
    <w:pPr>
      <w:suppressLineNumbers/>
      <w:spacing w:before="120" w:after="120"/>
    </w:pPr>
    <w:rPr>
      <w:rFonts w:cs="Arial"/>
      <w:i/>
      <w:iCs/>
      <w:sz w:val="24"/>
      <w:szCs w:val="24"/>
    </w:rPr>
  </w:style>
  <w:style w:type="paragraph" w:styleId="Style46">
    <w:name w:val="Покажчик"/>
    <w:basedOn w:val="Normal"/>
    <w:qFormat/>
    <w:pPr>
      <w:suppressLineNumbers/>
    </w:pPr>
    <w:rPr>
      <w:rFonts w:cs="Arial"/>
    </w:rPr>
  </w:style>
  <w:style w:type="paragraph" w:styleId="ListParagraph">
    <w:name w:val="List Paragraph"/>
    <w:basedOn w:val="Normal"/>
    <w:link w:val="a4"/>
    <w:uiPriority w:val="34"/>
    <w:qFormat/>
    <w:rsid w:val="00ce69f6"/>
    <w:pPr>
      <w:spacing w:lineRule="auto" w:line="276" w:before="0" w:after="200"/>
      <w:ind w:left="720" w:hanging="0"/>
      <w:contextualSpacing/>
    </w:pPr>
    <w:rPr>
      <w:rFonts w:cs="Times New Roman"/>
      <w:sz w:val="22"/>
      <w:lang w:eastAsia="en-US"/>
    </w:rPr>
  </w:style>
  <w:style w:type="paragraph" w:styleId="ListParagraph1">
    <w:name w:val="List Paragraph1"/>
    <w:basedOn w:val="Normal"/>
    <w:qFormat/>
    <w:pPr>
      <w:ind w:left="720" w:hanging="0"/>
    </w:pPr>
    <w:rPr>
      <w:lang w:eastAsia="ar-SA"/>
    </w:rPr>
  </w:style>
  <w:style w:type="paragraph" w:styleId="Style47">
    <w:name w:val="Звичайний відступ"/>
    <w:basedOn w:val="Normal"/>
    <w:qFormat/>
    <w:pPr>
      <w:suppressAutoHyphens w:val="false"/>
      <w:ind w:left="708" w:hanging="0"/>
    </w:pPr>
    <w:rPr>
      <w:lang w:eastAsia="ru-RU"/>
    </w:rPr>
  </w:style>
  <w:style w:type="paragraph" w:styleId="Rvps7">
    <w:name w:val="rvps7"/>
    <w:basedOn w:val="Normal"/>
    <w:qFormat/>
    <w:pPr>
      <w:spacing w:lineRule="exact" w:line="240" w:before="100" w:after="100"/>
    </w:pPr>
    <w:rPr>
      <w:rFonts w:ascii="Times New Roman" w:hAnsi="Times New Roman" w:eastAsia="Times New Roman" w:cs="Times New Roman"/>
    </w:rPr>
  </w:style>
  <w:style w:type="paragraph" w:styleId="A">
    <w:name w:val="a"/>
    <w:basedOn w:val="Normal"/>
    <w:qFormat/>
    <w:pPr>
      <w:spacing w:lineRule="exact" w:line="240" w:before="100" w:after="100"/>
    </w:pPr>
    <w:rPr>
      <w:rFonts w:ascii="Times New Roman" w:hAnsi="Times New Roman" w:eastAsia="Times New Roman" w:cs="Times New Roman"/>
      <w:lang w:val="ru-RU" w:eastAsia="ru-RU"/>
    </w:rPr>
  </w:style>
  <w:style w:type="paragraph" w:styleId="Default">
    <w:name w:val="Default"/>
    <w:qFormat/>
    <w:pPr>
      <w:widowControl/>
      <w:suppressAutoHyphens w:val="true"/>
      <w:bidi w:val="0"/>
      <w:spacing w:lineRule="auto" w:line="259" w:before="0" w:after="160"/>
      <w:jc w:val="left"/>
    </w:pPr>
    <w:rPr>
      <w:rFonts w:ascii="Times New Roman" w:hAnsi="Times New Roman" w:eastAsia="Times New Roman" w:cs="Times New Roman"/>
      <w:color w:val="auto"/>
      <w:kern w:val="0"/>
      <w:sz w:val="24"/>
      <w:szCs w:val="24"/>
      <w:lang w:val="ru-RU" w:eastAsia="ru-RU" w:bidi="ar-SA"/>
    </w:rPr>
  </w:style>
  <w:style w:type="paragraph" w:styleId="Style48">
    <w:name w:val="Раздел"/>
    <w:basedOn w:val="Normal"/>
    <w:qFormat/>
    <w:pPr>
      <w:spacing w:lineRule="exact" w:line="240"/>
    </w:pPr>
    <w:rPr>
      <w:rFonts w:ascii="Times New Roman" w:hAnsi="Times New Roman" w:eastAsia="Times New Roman" w:cs="Times New Roman"/>
      <w:lang w:val="ru-RU" w:eastAsia="ru-RU"/>
    </w:rPr>
  </w:style>
  <w:style w:type="paragraph" w:styleId="Style49">
    <w:name w:val="Статья"/>
    <w:basedOn w:val="Normal"/>
    <w:qFormat/>
    <w:pPr>
      <w:spacing w:lineRule="exact" w:line="240"/>
    </w:pPr>
    <w:rPr>
      <w:rFonts w:ascii="Times New Roman" w:hAnsi="Times New Roman" w:eastAsia="Times New Roman" w:cs="Times New Roman"/>
      <w:lang w:val="ru-RU" w:eastAsia="ru-RU"/>
    </w:rPr>
  </w:style>
  <w:style w:type="paragraph" w:styleId="Western">
    <w:name w:val="western"/>
    <w:basedOn w:val="Normal"/>
    <w:qFormat/>
    <w:pPr>
      <w:spacing w:lineRule="exact" w:line="240" w:before="100" w:after="119"/>
    </w:pPr>
    <w:rPr>
      <w:rFonts w:ascii="Times New Roman" w:hAnsi="Times New Roman" w:eastAsia="Times New Roman" w:cs="Times New Roman"/>
    </w:rPr>
  </w:style>
  <w:style w:type="paragraph" w:styleId="211">
    <w:name w:val="Основной текст (2)1"/>
    <w:basedOn w:val="Normal"/>
    <w:qFormat/>
    <w:pPr>
      <w:shd w:fill="FFFFFF"/>
      <w:spacing w:lineRule="exact" w:line="168"/>
      <w:ind w:hanging="180"/>
      <w:jc w:val="both"/>
    </w:pPr>
    <w:rPr>
      <w:rFonts w:ascii="Arial" w:hAnsi="Arial" w:eastAsia="Arial" w:cs="Arial"/>
      <w:sz w:val="12"/>
      <w:szCs w:val="12"/>
      <w:lang w:val="ru-RU" w:eastAsia="ru-RU"/>
    </w:rPr>
  </w:style>
  <w:style w:type="paragraph" w:styleId="TableParagraph">
    <w:name w:val="Table Paragraph"/>
    <w:basedOn w:val="Normal"/>
    <w:qFormat/>
    <w:pPr>
      <w:spacing w:lineRule="exact" w:line="240"/>
    </w:pPr>
    <w:rPr>
      <w:rFonts w:ascii="Calibri" w:hAnsi="Calibri" w:eastAsia="Calibri" w:cs="0"/>
      <w:lang w:val="en-US" w:eastAsia="en-US"/>
    </w:rPr>
  </w:style>
  <w:style w:type="paragraph" w:styleId="Style50">
    <w:name w:val="Назва об'єкта"/>
    <w:basedOn w:val="Normal"/>
    <w:qFormat/>
    <w:pPr>
      <w:spacing w:before="120" w:after="120"/>
    </w:pPr>
    <w:rPr>
      <w:rFonts w:cs="Mangal"/>
      <w:i/>
      <w:iCs/>
    </w:rPr>
  </w:style>
  <w:style w:type="paragraph" w:styleId="Style51">
    <w:name w:val="Указатель"/>
    <w:basedOn w:val="Normal"/>
    <w:qFormat/>
    <w:pPr/>
    <w:rPr>
      <w:rFonts w:cs="Mangal"/>
    </w:rPr>
  </w:style>
  <w:style w:type="paragraph" w:styleId="Style52">
    <w:name w:val="Абзац списку"/>
    <w:basedOn w:val="Normal"/>
    <w:qFormat/>
    <w:pPr>
      <w:spacing w:before="0" w:after="0"/>
      <w:ind w:left="720" w:hanging="0"/>
      <w:contextualSpacing/>
    </w:pPr>
    <w:rPr/>
  </w:style>
  <w:style w:type="paragraph" w:styleId="16">
    <w:name w:val="Схема документа1"/>
    <w:basedOn w:val="Normal"/>
    <w:qFormat/>
    <w:pPr>
      <w:shd w:fill="000080"/>
    </w:pPr>
    <w:rPr>
      <w:rFonts w:ascii="Times New Roman" w:hAnsi="Times New Roman" w:eastAsia="Times New Roman" w:cs="Times New Roman"/>
      <w:sz w:val="2"/>
      <w:szCs w:val="2"/>
    </w:rPr>
  </w:style>
  <w:style w:type="paragraph" w:styleId="Rvps2">
    <w:name w:val="rvps2"/>
    <w:basedOn w:val="Normal"/>
    <w:qFormat/>
    <w:pPr>
      <w:spacing w:before="280" w:after="280"/>
    </w:pPr>
    <w:rPr>
      <w:rFonts w:ascii="Times New Roman" w:hAnsi="Times New Roman" w:eastAsia="Times New Roman" w:cs="Times New Roman"/>
    </w:rPr>
  </w:style>
  <w:style w:type="paragraph" w:styleId="Style53">
    <w:name w:val="Текст у виносці"/>
    <w:basedOn w:val="Normal"/>
    <w:qFormat/>
    <w:pPr>
      <w:spacing w:lineRule="exact" w:line="240"/>
    </w:pPr>
    <w:rPr>
      <w:rFonts w:ascii="Tahoma" w:hAnsi="Tahoma" w:eastAsia="Tahoma"/>
      <w:sz w:val="16"/>
      <w:szCs w:val="16"/>
      <w:lang w:val="en-US" w:eastAsia="en-US"/>
    </w:rPr>
  </w:style>
  <w:style w:type="paragraph" w:styleId="212">
    <w:name w:val="Основний текст 21"/>
    <w:basedOn w:val="Normal"/>
    <w:qFormat/>
    <w:pPr>
      <w:spacing w:lineRule="auto" w:line="480" w:before="0" w:after="120"/>
    </w:pPr>
    <w:rPr>
      <w:sz w:val="22"/>
      <w:szCs w:val="22"/>
    </w:rPr>
  </w:style>
  <w:style w:type="paragraph" w:styleId="17">
    <w:name w:val="Текст примітки1"/>
    <w:basedOn w:val="Normal"/>
    <w:qFormat/>
    <w:pPr/>
    <w:rPr>
      <w:sz w:val="20"/>
      <w:szCs w:val="20"/>
    </w:rPr>
  </w:style>
  <w:style w:type="paragraph" w:styleId="Style54">
    <w:name w:val="Цитата"/>
    <w:basedOn w:val="Normal"/>
    <w:qFormat/>
    <w:pPr/>
    <w:rPr>
      <w:i/>
    </w:rPr>
  </w:style>
  <w:style w:type="paragraph" w:styleId="Style55">
    <w:name w:val="Насичена цитата"/>
    <w:basedOn w:val="Normal"/>
    <w:qFormat/>
    <w:pPr>
      <w:ind w:left="720" w:right="720" w:hanging="0"/>
    </w:pPr>
    <w:rPr>
      <w:b/>
      <w:i/>
      <w:szCs w:val="20"/>
    </w:rPr>
  </w:style>
  <w:style w:type="paragraph" w:styleId="213">
    <w:name w:val="Основний текст з відступом 21"/>
    <w:basedOn w:val="Normal"/>
    <w:qFormat/>
    <w:pPr>
      <w:spacing w:lineRule="auto" w:line="480" w:before="0" w:after="120"/>
      <w:ind w:left="283" w:hanging="0"/>
    </w:pPr>
    <w:rPr>
      <w:rFonts w:ascii="Times New Roman" w:hAnsi="Times New Roman" w:eastAsia="Times New Roman" w:cs="Times New Roman"/>
    </w:rPr>
  </w:style>
  <w:style w:type="paragraph" w:styleId="HTML3">
    <w:name w:val="Стандартний HTML"/>
    <w:basedOn w:val="Normal"/>
    <w:qFormat/>
    <w:pPr>
      <w:spacing w:lineRule="exact" w:line="240"/>
    </w:pPr>
    <w:rPr>
      <w:rFonts w:ascii="Courier New" w:hAnsi="Courier New" w:eastAsia="Courier New" w:cs="Courier New"/>
      <w:sz w:val="20"/>
      <w:szCs w:val="20"/>
      <w:lang w:val="ru-RU" w:eastAsia="ru-RU"/>
    </w:rPr>
  </w:style>
  <w:style w:type="paragraph" w:styleId="18">
    <w:name w:val="Абзац списка1"/>
    <w:basedOn w:val="Normal"/>
    <w:qFormat/>
    <w:pPr>
      <w:spacing w:lineRule="auto" w:line="276" w:before="0" w:after="200"/>
      <w:ind w:left="720" w:hanging="0"/>
    </w:pPr>
    <w:rPr>
      <w:rFonts w:eastAsia="Calibri"/>
      <w:sz w:val="22"/>
      <w:szCs w:val="22"/>
    </w:rPr>
  </w:style>
  <w:style w:type="paragraph" w:styleId="Standard">
    <w:name w:val="Standard"/>
    <w:qFormat/>
    <w:pPr>
      <w:widowControl/>
      <w:suppressAutoHyphens w:val="true"/>
      <w:bidi w:val="0"/>
      <w:spacing w:lineRule="auto" w:line="259" w:before="0" w:after="160"/>
      <w:jc w:val="left"/>
    </w:pPr>
    <w:rPr>
      <w:rFonts w:ascii="Arial" w:hAnsi="Arial" w:eastAsia="Times New Roman" w:cs="Arial"/>
      <w:color w:val="auto"/>
      <w:kern w:val="2"/>
      <w:sz w:val="24"/>
      <w:szCs w:val="24"/>
      <w:lang w:val="ru-RU" w:eastAsia="zh-CN" w:bidi="ar-SA"/>
    </w:rPr>
  </w:style>
  <w:style w:type="paragraph" w:styleId="Tj">
    <w:name w:val="tj"/>
    <w:basedOn w:val="Normal"/>
    <w:qFormat/>
    <w:pPr>
      <w:spacing w:before="280" w:after="280"/>
    </w:pPr>
    <w:rPr>
      <w:rFonts w:ascii="Times New Roman" w:hAnsi="Times New Roman" w:eastAsia="Times New Roman" w:cs="Times New Roman"/>
    </w:rPr>
  </w:style>
  <w:style w:type="paragraph" w:styleId="19">
    <w:name w:val="Обычный1"/>
    <w:qFormat/>
    <w:pPr>
      <w:widowControl/>
      <w:suppressAutoHyphens w:val="true"/>
      <w:bidi w:val="0"/>
      <w:spacing w:lineRule="auto" w:line="276" w:before="0" w:after="160"/>
      <w:jc w:val="left"/>
    </w:pPr>
    <w:rPr>
      <w:rFonts w:ascii="Arial" w:hAnsi="Arial" w:eastAsia="Arial" w:cs="Arial"/>
      <w:color w:val="auto"/>
      <w:kern w:val="2"/>
      <w:sz w:val="22"/>
      <w:szCs w:val="22"/>
      <w:lang w:val="ru-RU" w:eastAsia="zh-CN" w:bidi="ar-SA"/>
    </w:rPr>
  </w:style>
  <w:style w:type="paragraph" w:styleId="31">
    <w:name w:val="Обычный3"/>
    <w:qFormat/>
    <w:pPr>
      <w:widowControl/>
      <w:suppressAutoHyphens w:val="true"/>
      <w:bidi w:val="0"/>
      <w:spacing w:lineRule="auto" w:line="276" w:before="0" w:after="160"/>
      <w:jc w:val="left"/>
    </w:pPr>
    <w:rPr>
      <w:rFonts w:ascii="Arial" w:hAnsi="Arial" w:eastAsia="Arial" w:cs="Arial"/>
      <w:color w:val="auto"/>
      <w:kern w:val="2"/>
      <w:sz w:val="22"/>
      <w:szCs w:val="22"/>
      <w:lang w:val="ru-RU" w:eastAsia="zh-CN" w:bidi="ar-SA"/>
    </w:rPr>
  </w:style>
  <w:style w:type="paragraph" w:styleId="Style56">
    <w:name w:val="Заголовок таблицы"/>
    <w:qFormat/>
    <w:pPr>
      <w:widowControl/>
      <w:suppressAutoHyphens w:val="true"/>
      <w:bidi w:val="0"/>
      <w:spacing w:lineRule="auto" w:line="259" w:before="0" w:after="160"/>
      <w:jc w:val="center"/>
    </w:pPr>
    <w:rPr>
      <w:rFonts w:ascii="Liberation Serif" w:hAnsi="Liberation Serif" w:eastAsia="0" w:cs="0"/>
      <w:b/>
      <w:bCs/>
      <w:color w:val="auto"/>
      <w:kern w:val="2"/>
      <w:sz w:val="24"/>
      <w:szCs w:val="24"/>
      <w:lang w:val="uk-UA" w:eastAsia="zh-CN" w:bidi="hi-IN"/>
    </w:rPr>
  </w:style>
  <w:style w:type="paragraph" w:styleId="Style57">
    <w:name w:val="Без інтервалів"/>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Style58">
    <w:name w:val="Содержимое таблицы"/>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221">
    <w:name w:val="Основной текст с отступом 22"/>
    <w:basedOn w:val="Normal"/>
    <w:qFormat/>
    <w:pPr>
      <w:spacing w:lineRule="exact" w:line="280"/>
      <w:ind w:firstLine="720"/>
      <w:jc w:val="both"/>
    </w:pPr>
    <w:rPr>
      <w:szCs w:val="20"/>
    </w:rPr>
  </w:style>
  <w:style w:type="paragraph" w:styleId="Csbe39236c">
    <w:name w:val="csbe39236c"/>
    <w:basedOn w:val="Normal"/>
    <w:qFormat/>
    <w:pPr>
      <w:spacing w:before="280" w:after="280"/>
      <w:contextualSpacing/>
    </w:pPr>
    <w:rPr>
      <w:lang w:val="ru-RU"/>
    </w:rPr>
  </w:style>
  <w:style w:type="paragraph" w:styleId="Style59">
    <w:name w:val="Звичайний (веб)"/>
    <w:basedOn w:val="Normal"/>
    <w:qFormat/>
    <w:pPr>
      <w:spacing w:before="280" w:after="280"/>
    </w:pPr>
    <w:rPr>
      <w:lang w:val="ru-RU"/>
    </w:rPr>
  </w:style>
  <w:style w:type="paragraph" w:styleId="Cseeade915">
    <w:name w:val="cseeade915"/>
    <w:basedOn w:val="Normal"/>
    <w:qFormat/>
    <w:pPr>
      <w:spacing w:before="280" w:after="280"/>
      <w:contextualSpacing/>
    </w:pPr>
    <w:rPr>
      <w:lang w:val="ru-RU"/>
    </w:rPr>
  </w:style>
  <w:style w:type="paragraph" w:styleId="Style60">
    <w:name w:val="Звичайний"/>
    <w:qFormat/>
    <w:pPr>
      <w:widowControl/>
      <w:suppressAutoHyphens w:val="true"/>
      <w:bidi w:val="0"/>
      <w:spacing w:lineRule="auto" w:line="259" w:before="0" w:after="160"/>
      <w:jc w:val="left"/>
    </w:pPr>
    <w:rPr>
      <w:rFonts w:ascii="Liberation Serif" w:hAnsi="Liberation Serif" w:eastAsia="0" w:cs="0"/>
      <w:color w:val="auto"/>
      <w:kern w:val="2"/>
      <w:sz w:val="24"/>
      <w:szCs w:val="24"/>
      <w:lang w:val="uk-UA"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zorro.gov.ua/tender/UA-2023-11-22-014224-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LibreOffice/7.1.3.2$Windows_X86_64 LibreOffice_project/47f78053abe362b9384784d31a6e56f8511eb1c1</Application>
  <AppVersion>15.0000</AppVersion>
  <Pages>7</Pages>
  <Words>2258</Words>
  <Characters>15421</Characters>
  <CharactersWithSpaces>17870</CharactersWithSpaces>
  <Paragraphs>178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dc:description/>
  <dc:language>uk-UA</dc:language>
  <cp:lastModifiedBy/>
  <dcterms:modified xsi:type="dcterms:W3CDTF">2024-02-13T15:42:35Z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