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ar-SA"/>
        </w:rPr>
        <w:t>Додаток № 2</w:t>
      </w:r>
    </w:p>
    <w:p>
      <w:pPr>
        <w:pStyle w:val="Normal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до тендерної документації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закупівлі.</w:t>
      </w:r>
    </w:p>
    <w:p>
      <w:pPr>
        <w:pStyle w:val="Normal"/>
        <w:widowControl w:val="false"/>
        <w:tabs>
          <w:tab w:val="clear" w:pos="708"/>
          <w:tab w:val="center" w:pos="-2127" w:leader="none"/>
          <w:tab w:val="center" w:pos="7655" w:leader="none"/>
        </w:tabs>
        <w:ind w:right="657" w:firstLine="34"/>
        <w:jc w:val="center"/>
        <w:rPr>
          <w:rFonts w:ascii="Times New Roman" w:hAnsi="Times New Roman"/>
        </w:rPr>
      </w:pPr>
      <w:hyperlink r:id="rId2">
        <w:r>
          <w:rPr>
            <w:rFonts w:eastAsia="Times New Roman" w:cs="Times New Roman"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Код за ДК 021:2015 (CPV): 85140000-2 - Послуги у сфері охорони здоров’я різні (85145000-7 - Послуги медичних лабораторій)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2699"/>
        <w:gridCol w:w="3861"/>
        <w:gridCol w:w="1379"/>
        <w:gridCol w:w="1564"/>
      </w:tblGrid>
      <w:tr>
        <w:trPr>
          <w:trHeight w:val="354" w:hRule="atLeast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Біохімічний скринінг з розрахунком індивідуального ризику жінки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щодо хромосомних аномалій та певних вад розвитку плоду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542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val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Деталізований CPV код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Одиниця виміру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</w:tr>
      <w:tr>
        <w:trPr>
          <w:trHeight w:val="1924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Обстеження на перинатальні інфекції (токсоплазмоз, червоничка, цитомегаловірусна інфекція, герпес) антитіла IgM та антитіла IgG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70</w:t>
            </w:r>
          </w:p>
        </w:tc>
      </w:tr>
      <w:tr>
        <w:trPr>
          <w:trHeight w:val="729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Обстеження на перинатальні інфекції (токсоплазмоз, червоничка, цитомегаловірусна інфекція, герпес) антитіла IgM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130</w:t>
            </w:r>
          </w:p>
        </w:tc>
      </w:tr>
      <w:tr>
        <w:trPr>
          <w:trHeight w:val="729" w:hRule="atLeast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3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uk-UA"/>
              </w:rPr>
              <w:t>Тиреотропний гормон (ТТГ)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20</w:t>
            </w:r>
          </w:p>
        </w:tc>
      </w:tr>
      <w:tr>
        <w:trPr>
          <w:trHeight w:val="729" w:hRule="atLeast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4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uk-UA"/>
              </w:rPr>
              <w:t>Тироксин вільний (Т4В)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20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Batang" w:cs="Times New Roman"/>
          <w:b/>
          <w:b/>
          <w:sz w:val="24"/>
          <w:szCs w:val="24"/>
        </w:rPr>
      </w:pPr>
      <w:r>
        <w:rPr>
          <w:rFonts w:eastAsia="Batang" w:cs="Times New Roman" w:ascii="Times New Roman" w:hAnsi="Times New Roman"/>
          <w:b/>
          <w:sz w:val="24"/>
          <w:szCs w:val="24"/>
        </w:rPr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Інформація про технічні та якісні характеристики предмету закупівлі</w:t>
      </w:r>
    </w:p>
    <w:tbl>
      <w:tblPr>
        <w:tblStyle w:val="10"/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744"/>
        <w:gridCol w:w="4751"/>
      </w:tblGrid>
      <w:tr>
        <w:trPr/>
        <w:tc>
          <w:tcPr>
            <w:tcW w:w="4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7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Вимоги</w:t>
            </w:r>
          </w:p>
        </w:tc>
        <w:tc>
          <w:tcPr>
            <w:tcW w:w="47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Відповідність вимогам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(зазначити відповідність)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Ліцензія МОЗ України на «Медичну практику», при обов’язковій необхідності для проведення таких досліджень.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7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Графік роботи закладу;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Контактні дані закладу, де буде здійснюватися відповідні обстеження.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Розміщення лабораторії / філіалу / точки забору в м. Городенка, в якому проводяться   лабораторні послуги має бути не більше ніж 3,0-5,0 км від місцезнаходження Замовника, тобто м. Городенка, вул. Шептицького, 24-е.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Надати лист – підтвердження, що Виконавець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гарантує належну якість послуги, згідно стандартам та вимогам, затвердженим  Міністерством охорони здоров’я України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2.</w:t>
        <w:tab/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лист – погодження, що у Виконавця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буде можливість надавати послугу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(проводити забір біологічного матеріалу,</w:t>
      </w:r>
      <w:r>
        <w:rPr>
          <w:rFonts w:eastAsia="Lucida Sans Unicode" w:cs="Times New Roman" w:ascii="Times New Roman" w:hAnsi="Times New Roman"/>
          <w:i/>
          <w:kern w:val="2"/>
          <w:sz w:val="24"/>
          <w:szCs w:val="24"/>
          <w:lang w:bidi="hi-IN"/>
        </w:rPr>
        <w:t xml:space="preserve"> 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артість пробірки для крові, одноразові голки, спиртові серветки, антисептичний засіб тощо, входить до вартості забору)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 своїй лабораторії / філіалі / точки забору в м. Городенка, такі послуги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bidi="hi-IN"/>
        </w:rPr>
        <w:t xml:space="preserve"> включені до пакету Програми медичних гарантій НСЗУ «Ведення вагітності в амбулаторних умовах»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копію 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відповідних сертифікатів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*, що підтверджують виконання послуг відповідно до стандартів якості та іншим нормативним документам, затвердженим МОЗ України та чинним законодавством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чинної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ліцензії*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 медичну практику, а саме: клінічна лабораторна діагностика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свідоцтва про державну реєстрацію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 реагенти та тест-системи*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які застосовуються при проведені лабораторних досліджень та підлягають державній реєстрації в Україні та сертифікати якості що видаються виробником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гарантійний лист, що матеріали для надання послуг, що є предметом даної закупівлі, дозволені до використання в медичній практиці МОЗ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;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b/>
          <w:b/>
          <w:sz w:val="24"/>
          <w:szCs w:val="24"/>
          <w:lang w:eastAsia="ar-SA"/>
        </w:rPr>
      </w:pP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 xml:space="preserve">         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>7. Надати лист інформацію щодо порядку проведення лабораторних досліджень, а саме: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иконання лабораторних досліджень буде проводитись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>протягом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uk-UA" w:eastAsia="ru-RU" w:bidi="ar-SA"/>
        </w:rPr>
        <w:t>двох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 xml:space="preserve"> робочих днів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 з моменту отримання лабораторією біологічного матеріалу.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Результати лабораторних досліджень будуть надаватися в електронному варіанті протягом двох робочих днів з моменту отримання біологічного матеріалу. 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Видача результатів лабораторних досліджень у паперовому вигляді буде здійснюватися протягом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uk-UA" w:eastAsia="ru-RU" w:bidi="ar-SA"/>
        </w:rPr>
        <w:t>двох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робочих днів з моменту отримання біологічного матеріалу за рахунок Виконавця.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Виконавець несе відповідальність за достовірність проведених досліджень у разі, якщо результати виявляться недостовірними Виконавець зобов'язується провести повторне дослідження за свій рахунок.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Надати лист – підтвердження, що Виконавець має </w:t>
      </w:r>
      <w:r>
        <w:rPr>
          <w:rFonts w:eastAsia="Arial" w:cs="Times New Roman" w:ascii="Times New Roman" w:hAnsi="Times New Roman"/>
          <w:kern w:val="2"/>
          <w:sz w:val="24"/>
          <w:szCs w:val="24"/>
          <w:lang w:bidi="hi-IN"/>
        </w:rPr>
        <w:t>реєстрацію в електронній системі охорони здоров’я eHealth.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1"/>
        <w:widowControl w:val="fals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a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uiPriority w:val="99"/>
    <w:qFormat/>
    <w:rsid w:val="00770a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ru-RU" w:bidi="ar-SA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70a15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11-22-014224-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LibreOffice/7.1.3.2$Windows_X86_64 LibreOffice_project/47f78053abe362b9384784d31a6e56f8511eb1c1</Application>
  <AppVersion>15.0000</AppVersion>
  <Pages>2</Pages>
  <Words>488</Words>
  <Characters>3359</Characters>
  <CharactersWithSpaces>3900</CharactersWithSpaces>
  <Paragraphs>57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2023-09-30T08:20:00Z</dcterms:created>
  <dc:creator>RePack by Diakov</dc:creator>
  <dc:description/>
  <dc:language>uk-UA</dc:language>
  <cp:lastModifiedBy/>
  <dcterms:modified xsi:type="dcterms:W3CDTF">2024-02-14T15:08:42Z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