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before="0" w:after="0"/>
        <w:contextualSpacing/>
        <w:jc w:val="right"/>
        <w:rPr>
          <w:rFonts w:eastAsia="Times New Roman"/>
          <w:b/>
          <w:b/>
          <w:bCs/>
          <w:i/>
          <w:i/>
          <w:kern w:val="2"/>
          <w:sz w:val="22"/>
          <w:lang w:val="uk-UA" w:eastAsia="zh-CN"/>
        </w:rPr>
      </w:pPr>
      <w:r>
        <w:rPr>
          <w:rFonts w:eastAsia="Times New Roman"/>
          <w:b/>
          <w:bCs/>
          <w:i/>
          <w:kern w:val="2"/>
          <w:sz w:val="22"/>
          <w:lang w:val="uk-UA" w:eastAsia="zh-CN"/>
        </w:rPr>
      </w:r>
    </w:p>
    <w:p>
      <w:pPr>
        <w:pStyle w:val="Normal"/>
        <w:shd w:val="clear" w:color="auto" w:fill="FFFFFF" w:themeFill="background1"/>
        <w:spacing w:before="0" w:after="0"/>
        <w:contextualSpacing/>
        <w:jc w:val="right"/>
        <w:rPr>
          <w:rFonts w:eastAsia="Times New Roman"/>
          <w:b/>
          <w:b/>
          <w:bCs/>
          <w:i/>
          <w:i/>
          <w:kern w:val="2"/>
          <w:sz w:val="22"/>
          <w:lang w:val="uk-UA" w:eastAsia="zh-CN"/>
        </w:rPr>
      </w:pPr>
      <w:r>
        <w:rPr>
          <w:rFonts w:eastAsia="Times New Roman"/>
          <w:b/>
          <w:bCs/>
          <w:i/>
          <w:kern w:val="2"/>
          <w:sz w:val="22"/>
          <w:lang w:val="uk-UA" w:eastAsia="zh-CN"/>
        </w:rPr>
        <w:t>Додаток 3 до тендерної документації</w:t>
      </w:r>
    </w:p>
    <w:p>
      <w:pPr>
        <w:pStyle w:val="Normal"/>
        <w:widowControl w:val="false"/>
        <w:overflowPunct w:val="false"/>
        <w:jc w:val="right"/>
        <w:textAlignment w:val="baseline"/>
        <w:rPr>
          <w:rFonts w:eastAsia="Times New Roman"/>
          <w:b/>
          <w:b/>
          <w:bCs/>
          <w:color w:val="000000"/>
          <w:sz w:val="22"/>
          <w:szCs w:val="22"/>
          <w:lang w:val="uk-UA"/>
        </w:rPr>
      </w:pPr>
      <w:r>
        <w:rPr>
          <w:rFonts w:eastAsia="Times New Roman"/>
          <w:b/>
          <w:bCs/>
          <w:color w:val="000000"/>
          <w:sz w:val="22"/>
          <w:szCs w:val="22"/>
          <w:lang w:val="uk-UA"/>
        </w:rPr>
      </w:r>
    </w:p>
    <w:p>
      <w:pPr>
        <w:pStyle w:val="Normal"/>
        <w:widowControl w:val="false"/>
        <w:overflowPunct w:val="false"/>
        <w:jc w:val="center"/>
        <w:textAlignment w:val="baseline"/>
        <w:rPr>
          <w:rFonts w:eastAsia="Times New Roman"/>
          <w:b/>
          <w:b/>
          <w:bCs/>
          <w:color w:val="000000"/>
          <w:sz w:val="22"/>
          <w:szCs w:val="22"/>
          <w:lang w:val="uk-UA"/>
        </w:rPr>
      </w:pPr>
      <w:r>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pPr>
        <w:pStyle w:val="Normal"/>
        <w:jc w:val="center"/>
        <w:rPr>
          <w:b/>
          <w:b/>
          <w:bCs/>
          <w:lang w:val="uk-UA"/>
        </w:rPr>
      </w:pPr>
      <w:r>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b/>
          <w:b/>
          <w:bCs/>
          <w:lang w:val="uk-UA"/>
        </w:rPr>
      </w:pPr>
      <w:r>
        <w:rPr>
          <w:b/>
          <w:bCs/>
          <w:lang w:val="uk-UA"/>
        </w:rPr>
      </w:r>
    </w:p>
    <w:p>
      <w:pPr>
        <w:pStyle w:val="ListParagraph"/>
        <w:numPr>
          <w:ilvl w:val="0"/>
          <w:numId w:val="3"/>
        </w:numPr>
        <w:jc w:val="center"/>
        <w:rPr>
          <w:rFonts w:ascii="Times New Roman" w:hAnsi="Times New Roman"/>
          <w:b/>
          <w:b/>
          <w:sz w:val="24"/>
          <w:szCs w:val="24"/>
          <w:lang w:val="uk-UA"/>
        </w:rPr>
      </w:pPr>
      <w:r>
        <w:rPr>
          <w:rFonts w:ascii="Times New Roman" w:hAnsi="Times New Roman"/>
          <w:b/>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pPr>
        <w:pStyle w:val="Normal"/>
        <w:rPr>
          <w:lang w:val="uk-UA"/>
        </w:rPr>
      </w:pPr>
      <w:r>
        <w:rPr>
          <w:lang w:val="uk-UA"/>
        </w:rPr>
      </w:r>
    </w:p>
    <w:p>
      <w:pPr>
        <w:pStyle w:val="Normal"/>
        <w:spacing w:before="0" w:after="0"/>
        <w:ind w:firstLine="709"/>
        <w:jc w:val="both"/>
        <w:rPr>
          <w:shd w:fill="FFFFFF" w:val="clear"/>
          <w:lang w:val="uk-UA"/>
        </w:rPr>
      </w:pPr>
      <w:r>
        <w:rPr>
          <w:b/>
          <w:bCs/>
          <w:lang w:val="uk-UA"/>
        </w:rPr>
        <w:t>Найменування предмета закупівлі</w:t>
      </w:r>
      <w:r>
        <w:rPr>
          <w:bCs/>
          <w:lang w:val="uk-UA"/>
        </w:rPr>
        <w:t xml:space="preserve">: </w:t>
      </w:r>
      <w:r>
        <w:rPr>
          <w:b/>
          <w:bCs/>
          <w:sz w:val="24"/>
          <w:szCs w:val="24"/>
          <w:lang w:val="uk-UA"/>
        </w:rPr>
        <w:t xml:space="preserve">Поточний ремонт покрівлі корпусу А1 </w:t>
      </w:r>
      <w:r>
        <w:rPr>
          <w:b/>
          <w:sz w:val="24"/>
          <w:szCs w:val="24"/>
          <w:lang w:val="uk-UA"/>
        </w:rPr>
        <w:t xml:space="preserve">Вознесенської загальноосвітної школи І-ІІІ ступеня №5 </w:t>
      </w:r>
      <w:r>
        <w:rPr>
          <w:rFonts w:eastAsia="Times New Roman"/>
          <w:b/>
          <w:sz w:val="24"/>
          <w:szCs w:val="24"/>
          <w:lang w:val="uk-UA"/>
        </w:rPr>
        <w:t xml:space="preserve">Вознесенської міської ради по вул.Матросова, 205, в м.Вознесенськ Миколаївської області (ДК 021:2015 «Єдиний закупівельний словник»:45260000-7 </w:t>
      </w:r>
      <w:r>
        <w:rPr>
          <w:rFonts w:eastAsia="Times New Roman"/>
          <w:b/>
          <w:bCs/>
          <w:sz w:val="24"/>
          <w:szCs w:val="24"/>
          <w:shd w:fill="FFFFFF" w:val="clear"/>
          <w:lang w:val="uk-UA"/>
        </w:rPr>
        <w:t>— Покрівельні роботи та інші спеціалізовані будівельні роботи).</w:t>
      </w:r>
    </w:p>
    <w:p>
      <w:pPr>
        <w:pStyle w:val="Normal"/>
        <w:ind w:right="132" w:firstLine="709"/>
        <w:jc w:val="both"/>
        <w:rPr>
          <w:b/>
          <w:b/>
          <w:lang w:val="uk-UA"/>
        </w:rPr>
      </w:pPr>
      <w:r>
        <w:rPr>
          <w:b/>
          <w:lang w:val="uk-UA"/>
        </w:rPr>
        <w:t xml:space="preserve">Місце виконання:  </w:t>
      </w:r>
      <w:r>
        <w:rPr>
          <w:rFonts w:eastAsia="Times New Roman" w:cs="Times New Roman"/>
          <w:b/>
          <w:sz w:val="24"/>
          <w:szCs w:val="24"/>
          <w:shd w:fill="FFFFFF" w:val="clear"/>
          <w:lang w:val="uk-UA"/>
        </w:rPr>
        <w:t>вул. Матросова, буд. 205, м. Вознесенськ, Миколаївська обл., 5650</w:t>
      </w:r>
      <w:r>
        <w:rPr>
          <w:rFonts w:eastAsia="Times New Roman" w:cs="Times New Roman"/>
          <w:b/>
          <w:sz w:val="24"/>
          <w:szCs w:val="24"/>
          <w:shd w:fill="auto" w:val="clear"/>
          <w:lang w:val="uk-UA"/>
        </w:rPr>
        <w:t>0.</w:t>
      </w:r>
    </w:p>
    <w:p>
      <w:pPr>
        <w:pStyle w:val="Normal"/>
        <w:widowControl w:val="false"/>
        <w:spacing w:before="0" w:after="120"/>
        <w:ind w:firstLine="709"/>
        <w:jc w:val="both"/>
        <w:rPr>
          <w:b/>
          <w:b/>
          <w:lang w:val="uk-UA"/>
        </w:rPr>
      </w:pPr>
      <w:r>
        <w:rPr>
          <w:b/>
          <w:lang w:val="uk-UA"/>
        </w:rPr>
        <w:t>Строк  виконання робіт, послуг: до 31 грудня 2022 року.</w:t>
      </w:r>
    </w:p>
    <w:p>
      <w:pPr>
        <w:pStyle w:val="Normal"/>
        <w:tabs>
          <w:tab w:val="clear" w:pos="708"/>
          <w:tab w:val="left" w:pos="0" w:leader="none"/>
          <w:tab w:val="center" w:pos="4153" w:leader="none"/>
          <w:tab w:val="right" w:pos="8306" w:leader="none"/>
        </w:tabs>
        <w:ind w:firstLine="540"/>
        <w:jc w:val="right"/>
        <w:rPr>
          <w:b/>
          <w:b/>
          <w:bCs/>
          <w:lang w:val="uk-UA"/>
        </w:rPr>
      </w:pPr>
      <w:r>
        <w:rPr>
          <w:b/>
          <w:bCs/>
          <w:lang w:val="uk-UA"/>
        </w:rPr>
      </w:r>
    </w:p>
    <w:tbl>
      <w:tblPr>
        <w:tblW w:w="10470" w:type="dxa"/>
        <w:jc w:val="left"/>
        <w:tblInd w:w="-65" w:type="dxa"/>
        <w:tblLayout w:type="fixed"/>
        <w:tblCellMar>
          <w:top w:w="0" w:type="dxa"/>
          <w:left w:w="108" w:type="dxa"/>
          <w:bottom w:w="0" w:type="dxa"/>
          <w:right w:w="108" w:type="dxa"/>
        </w:tblCellMar>
        <w:tblLook w:firstRow="1" w:noVBand="1" w:lastRow="0" w:firstColumn="1" w:lastColumn="0" w:noHBand="0" w:val="04a0"/>
      </w:tblPr>
      <w:tblGrid>
        <w:gridCol w:w="569"/>
        <w:gridCol w:w="3289"/>
        <w:gridCol w:w="6612"/>
      </w:tblGrid>
      <w:tr>
        <w:trPr>
          <w:tblHeader w:val="true"/>
          <w:trHeight w:val="627"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b/>
                <w:b/>
                <w:bCs/>
              </w:rPr>
            </w:pPr>
            <w:r>
              <w:rPr>
                <w:b/>
                <w:bCs/>
              </w:rPr>
              <w:t xml:space="preserve">№ </w:t>
            </w:r>
            <w:r>
              <w:rPr>
                <w:b/>
                <w:bCs/>
              </w:rPr>
              <w:t>з.п.</w:t>
            </w:r>
          </w:p>
        </w:tc>
        <w:tc>
          <w:tcPr>
            <w:tcW w:w="328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b/>
                <w:b/>
                <w:bCs/>
              </w:rPr>
            </w:pPr>
            <w:r>
              <w:rPr>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jc w:val="center"/>
              <w:rPr>
                <w:b/>
                <w:b/>
                <w:bCs/>
              </w:rPr>
            </w:pPr>
            <w:r>
              <w:rPr>
                <w:b/>
                <w:bCs/>
              </w:rPr>
              <w:t>Документи, підтверджують відповідність учасника кваліфікаційним критеріям</w:t>
            </w:r>
          </w:p>
        </w:tc>
      </w:tr>
      <w:tr>
        <w:trPr>
          <w:trHeight w:val="376"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pPr>
            <w:r>
              <w:rPr>
                <w:b/>
                <w:bCs/>
              </w:rPr>
              <w:t>1.</w:t>
            </w:r>
          </w:p>
        </w:tc>
        <w:tc>
          <w:tcPr>
            <w:tcW w:w="3289"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1080" w:leader="none"/>
              </w:tabs>
              <w:rPr/>
            </w:pPr>
            <w:r>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b/>
                <w:b/>
                <w:lang w:val="uk-UA"/>
              </w:rPr>
            </w:pPr>
            <w:r>
              <w:rPr>
                <w:b/>
              </w:rPr>
              <w:t xml:space="preserve">1.1. </w:t>
            </w:r>
            <w:r>
              <w:rPr>
                <w:b/>
                <w:lang w:val="uk-UA"/>
              </w:rPr>
              <w:t xml:space="preserve"> </w:t>
            </w:r>
            <w:r>
              <w:rPr>
                <w:b/>
              </w:rPr>
              <w:t>Відомості подаються у таблиці довільної форми про наявність матеріально-технічної бази учасника.</w:t>
            </w:r>
          </w:p>
          <w:p>
            <w:pPr>
              <w:pStyle w:val="Normal"/>
              <w:widowControl w:val="false"/>
              <w:jc w:val="both"/>
              <w:rPr>
                <w:lang w:val="uk-UA"/>
              </w:rPr>
            </w:pPr>
            <w:r>
              <w:rPr>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будівельних машин і механізмів) у довільній формі.</w:t>
            </w:r>
          </w:p>
          <w:p>
            <w:pPr>
              <w:pStyle w:val="Normal"/>
              <w:widowControl w:val="false"/>
              <w:jc w:val="both"/>
              <w:rPr/>
            </w:pPr>
            <w:r>
              <w:rPr>
                <w:bCs/>
              </w:rPr>
              <w:t>*До довідки про наявність будівельних машин і механізмів необхідно обов’язково включити наступні будівельні машини</w:t>
            </w:r>
            <w:r>
              <w:rPr>
                <w:b/>
                <w:bCs/>
              </w:rPr>
              <w:t xml:space="preserve"> </w:t>
            </w:r>
            <w:r>
              <w:rPr>
                <w:bCs/>
              </w:rPr>
              <w:t>і</w:t>
            </w:r>
            <w:r>
              <w:rPr>
                <w:b/>
                <w:bCs/>
              </w:rPr>
              <w:t xml:space="preserve"> </w:t>
            </w:r>
            <w:r>
              <w:rPr>
                <w:bCs/>
              </w:rPr>
              <w:t xml:space="preserve">механізми, </w:t>
            </w:r>
            <w:r>
              <w:rPr/>
              <w:t>а саме:</w:t>
            </w:r>
          </w:p>
          <w:p>
            <w:pPr>
              <w:pStyle w:val="ListParagraph"/>
              <w:widowControl w:val="false"/>
              <w:numPr>
                <w:ilvl w:val="0"/>
                <w:numId w:val="4"/>
              </w:numPr>
              <w:spacing w:before="0" w:after="0"/>
              <w:contextualSpacing/>
              <w:jc w:val="both"/>
              <w:rPr>
                <w:rFonts w:ascii="Times New Roman" w:hAnsi="Times New Roman"/>
                <w:spacing w:val="-3"/>
                <w:sz w:val="24"/>
                <w:szCs w:val="24"/>
              </w:rPr>
            </w:pPr>
            <w:r>
              <w:rPr>
                <w:rFonts w:ascii="Times New Roman" w:hAnsi="Times New Roman"/>
                <w:spacing w:val="-3"/>
                <w:sz w:val="24"/>
                <w:szCs w:val="24"/>
              </w:rPr>
              <w:t>Автомобіл</w:t>
            </w:r>
            <w:r>
              <w:rPr>
                <w:rFonts w:ascii="Times New Roman" w:hAnsi="Times New Roman"/>
                <w:spacing w:val="-3"/>
                <w:sz w:val="24"/>
                <w:szCs w:val="24"/>
                <w:lang w:val="uk-UA"/>
              </w:rPr>
              <w:t xml:space="preserve">ь </w:t>
            </w:r>
            <w:r>
              <w:rPr>
                <w:rFonts w:ascii="Times New Roman" w:hAnsi="Times New Roman"/>
                <w:spacing w:val="-3"/>
                <w:sz w:val="24"/>
                <w:szCs w:val="24"/>
              </w:rPr>
              <w:t>бортов</w:t>
            </w:r>
            <w:r>
              <w:rPr>
                <w:rFonts w:ascii="Times New Roman" w:hAnsi="Times New Roman"/>
                <w:spacing w:val="-3"/>
                <w:sz w:val="24"/>
                <w:szCs w:val="24"/>
                <w:lang w:val="uk-UA"/>
              </w:rPr>
              <w:t>ий</w:t>
            </w:r>
            <w:r>
              <w:rPr>
                <w:rFonts w:ascii="Times New Roman" w:hAnsi="Times New Roman"/>
                <w:spacing w:val="-3"/>
                <w:sz w:val="24"/>
                <w:szCs w:val="24"/>
              </w:rPr>
              <w:t>, вантажопідйомність</w:t>
            </w:r>
            <w:r>
              <w:rPr>
                <w:rFonts w:ascii="Times New Roman" w:hAnsi="Times New Roman"/>
                <w:spacing w:val="-3"/>
                <w:sz w:val="24"/>
                <w:szCs w:val="24"/>
                <w:lang w:val="uk-UA"/>
              </w:rPr>
              <w:t xml:space="preserve"> не менше</w:t>
            </w:r>
            <w:r>
              <w:rPr>
                <w:rFonts w:ascii="Times New Roman" w:hAnsi="Times New Roman"/>
                <w:spacing w:val="-3"/>
                <w:sz w:val="24"/>
                <w:szCs w:val="24"/>
              </w:rPr>
              <w:t xml:space="preserve"> 5 т;</w:t>
            </w:r>
          </w:p>
          <w:p>
            <w:pPr>
              <w:pStyle w:val="ListParagraph"/>
              <w:keepLines/>
              <w:widowControl w:val="false"/>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Кран на автомобільному ходу, вантажопідйомність </w:t>
            </w:r>
            <w:r>
              <w:rPr>
                <w:rFonts w:ascii="Times New Roman" w:hAnsi="Times New Roman"/>
                <w:sz w:val="24"/>
                <w:szCs w:val="24"/>
                <w:lang w:val="uk-UA"/>
              </w:rPr>
              <w:t xml:space="preserve">не менше </w:t>
            </w:r>
            <w:r>
              <w:rPr>
                <w:rFonts w:ascii="Times New Roman" w:hAnsi="Times New Roman"/>
                <w:sz w:val="24"/>
                <w:szCs w:val="24"/>
              </w:rPr>
              <w:t>10 т;</w:t>
            </w:r>
          </w:p>
          <w:p>
            <w:pPr>
              <w:pStyle w:val="ListParagraph"/>
              <w:keepLines/>
              <w:widowControl w:val="false"/>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Установка для зварювання ручного дугового [постійного струму]</w:t>
            </w:r>
            <w:r>
              <w:rPr>
                <w:rFonts w:ascii="Times New Roman" w:hAnsi="Times New Roman"/>
                <w:sz w:val="24"/>
                <w:szCs w:val="24"/>
                <w:lang w:val="uk-UA"/>
              </w:rPr>
              <w:t>;</w:t>
            </w:r>
          </w:p>
          <w:p>
            <w:pPr>
              <w:pStyle w:val="ListParagraph"/>
              <w:keepLines/>
              <w:widowControl w:val="false"/>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Компресор пересувн</w:t>
            </w:r>
            <w:r>
              <w:rPr>
                <w:rFonts w:ascii="Times New Roman" w:hAnsi="Times New Roman"/>
                <w:sz w:val="24"/>
                <w:szCs w:val="24"/>
                <w:lang w:val="uk-UA"/>
              </w:rPr>
              <w:t>ий</w:t>
            </w:r>
            <w:r>
              <w:rPr>
                <w:rFonts w:ascii="Times New Roman" w:hAnsi="Times New Roman"/>
                <w:sz w:val="24"/>
                <w:szCs w:val="24"/>
              </w:rPr>
              <w:t xml:space="preserve"> з електродвигуном, тиск 600 кПа [6 ат], продуктивність 0,5 м3/хв.;</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rPr>
              <w:t>Машин</w:t>
            </w:r>
            <w:r>
              <w:rPr>
                <w:rFonts w:ascii="Times New Roman" w:hAnsi="Times New Roman"/>
                <w:spacing w:val="-3"/>
                <w:sz w:val="24"/>
                <w:szCs w:val="24"/>
                <w:lang w:val="uk-UA"/>
              </w:rPr>
              <w:t>а</w:t>
            </w:r>
            <w:r>
              <w:rPr>
                <w:rFonts w:ascii="Times New Roman" w:hAnsi="Times New Roman"/>
                <w:spacing w:val="-3"/>
                <w:sz w:val="24"/>
                <w:szCs w:val="24"/>
              </w:rPr>
              <w:t xml:space="preserve"> бурильно-кранов</w:t>
            </w:r>
            <w:r>
              <w:rPr>
                <w:rFonts w:ascii="Times New Roman" w:hAnsi="Times New Roman"/>
                <w:spacing w:val="-3"/>
                <w:sz w:val="24"/>
                <w:szCs w:val="24"/>
                <w:lang w:val="uk-UA"/>
              </w:rPr>
              <w:t>а</w:t>
            </w:r>
            <w:r>
              <w:rPr>
                <w:rFonts w:ascii="Times New Roman" w:hAnsi="Times New Roman"/>
                <w:spacing w:val="-3"/>
                <w:sz w:val="24"/>
                <w:szCs w:val="24"/>
              </w:rPr>
              <w:t xml:space="preserve"> на автомобілі, глибина буріння 3,5 м</w:t>
            </w:r>
            <w:r>
              <w:rPr>
                <w:rFonts w:ascii="Times New Roman" w:hAnsi="Times New Roman"/>
                <w:spacing w:val="-3"/>
                <w:sz w:val="24"/>
                <w:szCs w:val="24"/>
                <w:lang w:val="uk-UA"/>
              </w:rPr>
              <w:t>;</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Коток дорожній самохідний, маса не менше 13т;</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Автогрейдер, потужність не менше 99 кВт (135 к.с.);</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Коток дорожній самохідний, маса не менше 8 т;</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Бульдозер, потужність не менше 79 кВт (108 к.с.).</w:t>
            </w:r>
          </w:p>
          <w:p>
            <w:pPr>
              <w:pStyle w:val="ListParagraph"/>
              <w:keepLines/>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widowControl w:val="false"/>
              <w:jc w:val="both"/>
              <w:rPr/>
            </w:pPr>
            <w:r>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pPr>
              <w:pStyle w:val="Normal"/>
              <w:widowControl w:val="false"/>
              <w:jc w:val="both"/>
              <w:rPr>
                <w:b/>
                <w:b/>
              </w:rPr>
            </w:pPr>
            <w:r>
              <w:rPr/>
              <w:t>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w:t>
            </w:r>
          </w:p>
          <w:p>
            <w:pPr>
              <w:pStyle w:val="Normal"/>
              <w:widowControl w:val="false"/>
              <w:jc w:val="both"/>
              <w:rPr/>
            </w:pPr>
            <w:r>
              <w:rPr/>
              <w:t xml:space="preserve">Для підтвердження правових підстав щодо наявності орендованих </w:t>
            </w:r>
            <w:r>
              <w:rPr>
                <w:bCs/>
              </w:rPr>
              <w:t>будівельних машин</w:t>
            </w:r>
            <w:r>
              <w:rPr>
                <w:b/>
                <w:bCs/>
              </w:rPr>
              <w:t xml:space="preserve"> </w:t>
            </w:r>
            <w:r>
              <w:rPr>
                <w:bCs/>
              </w:rPr>
              <w:t>і</w:t>
            </w:r>
            <w:r>
              <w:rPr>
                <w:b/>
                <w:bCs/>
              </w:rPr>
              <w:t xml:space="preserve"> </w:t>
            </w:r>
            <w:r>
              <w:rPr>
                <w:bCs/>
              </w:rPr>
              <w:t>механізмів</w:t>
            </w:r>
            <w:r>
              <w:rPr/>
              <w:t xml:space="preserve">, та/або щодо надання послуг з використанням </w:t>
            </w:r>
            <w:r>
              <w:rPr>
                <w:bCs/>
              </w:rPr>
              <w:t>будівельних</w:t>
            </w:r>
            <w:r>
              <w:rPr/>
              <w:t xml:space="preserve"> машин та механізмів, учасник надає у складі пропозиції  відповідні документи:</w:t>
            </w:r>
          </w:p>
          <w:p>
            <w:pPr>
              <w:pStyle w:val="Normal"/>
              <w:widowControl w:val="false"/>
              <w:jc w:val="both"/>
              <w:rPr>
                <w:b/>
                <w:b/>
              </w:rPr>
            </w:pPr>
            <w:r>
              <w:rPr/>
              <w:t>- діючий договір оренди та/або надання послуг з додатками;</w:t>
            </w:r>
          </w:p>
          <w:p>
            <w:pPr>
              <w:pStyle w:val="Normal"/>
              <w:widowControl w:val="false"/>
              <w:jc w:val="both"/>
              <w:rPr/>
            </w:pPr>
            <w:r>
              <w:rPr/>
              <w:t>- лист-згода власника транспортних засобів (машин та механізмів) на їх використання Учасником для виконання робіт за предметом закупівлі;</w:t>
            </w:r>
          </w:p>
          <w:p>
            <w:pPr>
              <w:pStyle w:val="Normal"/>
              <w:widowControl w:val="false"/>
              <w:jc w:val="both"/>
              <w:rPr/>
            </w:pPr>
            <w:r>
              <w:rPr/>
              <w:t>- свідоцтва про реєстрацію транспортних засобів (машин та механізмів).</w:t>
            </w:r>
          </w:p>
          <w:p>
            <w:pPr>
              <w:pStyle w:val="Normal"/>
              <w:widowControl w:val="false"/>
              <w:jc w:val="both"/>
              <w:rPr/>
            </w:pPr>
            <w:r>
              <w:rPr/>
              <w:t>Лист-згода власника транспортних засобів (машин та механізмів) повинен містити</w:t>
            </w:r>
            <w:r>
              <w:rPr>
                <w:lang w:val="uk-UA"/>
              </w:rPr>
              <w:t>*</w:t>
            </w:r>
            <w:r>
              <w:rPr/>
              <w:t>:</w:t>
            </w:r>
          </w:p>
          <w:p>
            <w:pPr>
              <w:pStyle w:val="Normal"/>
              <w:widowControl w:val="false"/>
              <w:jc w:val="both"/>
              <w:rPr/>
            </w:pPr>
            <w:r>
              <w:rPr/>
              <w:t>- згоду щодо їх використання Учасником для виконання робіт за предметом закупівлі, або згоду на надання послуг, з обов’язковим зазначенням предмету закупівлі;</w:t>
            </w:r>
          </w:p>
          <w:p>
            <w:pPr>
              <w:pStyle w:val="Normal"/>
              <w:widowControl w:val="false"/>
              <w:jc w:val="both"/>
              <w:rPr/>
            </w:pPr>
            <w:r>
              <w:rPr/>
              <w:t>- повне найменування Учасника, якому надається згода на використання транспортних засобів (машин та механізмів), або на надання послуг.</w:t>
            </w:r>
          </w:p>
          <w:p>
            <w:pPr>
              <w:pStyle w:val="Normal"/>
              <w:widowControl w:val="false"/>
              <w:jc w:val="both"/>
              <w:rPr>
                <w:lang w:val="uk-UA"/>
              </w:rPr>
            </w:pPr>
            <w:r>
              <w:rPr>
                <w:lang w:val="uk-UA"/>
              </w:rPr>
              <w:t>* у разі використання транспортних засобів за договором оренди, посвідченим нотаріально, з правом Орендаря або Орендодавця використовувати транспортні засоби на власний розсуд без погодження із власником, листи-згоди надавати не потрібно.</w:t>
            </w:r>
          </w:p>
          <w:p>
            <w:pPr>
              <w:pStyle w:val="Normal"/>
              <w:widowControl w:val="false"/>
              <w:jc w:val="both"/>
              <w:rPr/>
            </w:pPr>
            <w:r>
              <w:rPr/>
              <w:t>Лист-згода власника транспортних засобів (машин та механізмів) подається на фірмовому бланку (</w:t>
            </w:r>
            <w:r>
              <w:rPr>
                <w:i/>
              </w:rPr>
              <w:t>у разі наявності  такого бланку</w:t>
            </w:r>
            <w:r>
              <w:rPr/>
              <w:t>) та містити підпис керівника власника транспортних засобів (машин та механізмів) та печатку (при наявності).</w:t>
            </w:r>
          </w:p>
          <w:p>
            <w:pPr>
              <w:pStyle w:val="Normal"/>
              <w:widowControl w:val="false"/>
              <w:jc w:val="both"/>
              <w:rPr/>
            </w:pPr>
            <w:r>
              <w:rPr/>
              <w:t>Достовірність підпису у листі-згоді від власника транспортних засобів (машин та механізмів) фізичної особи, або фізичної особи – підприємця, підлягає нотаріальному засвідченню.</w:t>
            </w:r>
          </w:p>
          <w:p>
            <w:pPr>
              <w:pStyle w:val="Normal"/>
              <w:widowControl w:val="false"/>
              <w:jc w:val="both"/>
              <w:rPr>
                <w:b/>
                <w:b/>
                <w:lang w:val="uk-UA"/>
              </w:rPr>
            </w:pPr>
            <w:r>
              <w:rPr>
                <w:bCs/>
              </w:rPr>
              <w:t>В разі якщо будівельні машини</w:t>
            </w:r>
            <w:r>
              <w:rPr>
                <w:b/>
                <w:bCs/>
              </w:rPr>
              <w:t xml:space="preserve"> </w:t>
            </w:r>
            <w:r>
              <w:rPr>
                <w:bCs/>
              </w:rPr>
              <w:t>і</w:t>
            </w:r>
            <w:r>
              <w:rPr>
                <w:b/>
                <w:bCs/>
              </w:rPr>
              <w:t xml:space="preserve"> </w:t>
            </w:r>
            <w:r>
              <w:rPr>
                <w:bCs/>
              </w:rPr>
              <w:t xml:space="preserve">механізми не підлягають реєстрації та на них не отримуються </w:t>
            </w:r>
            <w:r>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p>
            <w:pPr>
              <w:pStyle w:val="Normal"/>
              <w:widowControl w:val="false"/>
              <w:jc w:val="both"/>
              <w:rPr>
                <w:lang w:val="uk-UA"/>
              </w:rPr>
            </w:pPr>
            <w:r>
              <w:rPr>
                <w:lang w:val="uk-UA"/>
              </w:rPr>
            </w:r>
          </w:p>
        </w:tc>
      </w:tr>
      <w:tr>
        <w:trPr>
          <w:trHeight w:val="1316"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pPr>
            <w:r>
              <w:rPr>
                <w:b/>
                <w:bCs/>
              </w:rPr>
              <w:t>2.</w:t>
            </w:r>
          </w:p>
        </w:tc>
        <w:tc>
          <w:tcPr>
            <w:tcW w:w="328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rPr/>
            </w:pPr>
            <w:r>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jc w:val="both"/>
              <w:rPr/>
            </w:pPr>
            <w:r>
              <w:rPr/>
              <w:t xml:space="preserve">Наявність працівників для виконання робіт. </w:t>
            </w:r>
            <w:r>
              <w:rPr>
                <w:rFonts w:eastAsia="Calibri"/>
              </w:rPr>
              <w:t>Відомості подаються шляхом заповнення Форми «Наявність працівників відповідної кваліфікації, які мають необхідні знання та досвід</w:t>
            </w:r>
            <w:r>
              <w:rPr/>
              <w:t>», згідно запропонованої форми</w:t>
            </w:r>
            <w:r>
              <w:rPr>
                <w:color w:val="000000"/>
              </w:rPr>
              <w:t>, що визначена у даному Додатку.</w:t>
            </w:r>
            <w:r>
              <w:rPr/>
              <w:t xml:space="preserve"> До довідки обов’язково додається копія наказів про призначення (вступ) на посаду. Накази про призначення (вступ) на посаду повинні підтверджувати факт заняття саме тієї посади, яка вказана Учасником у </w:t>
            </w:r>
            <w:r>
              <w:rPr>
                <w:rFonts w:eastAsia="Calibri"/>
              </w:rPr>
              <w:t>Формі «Наявність працівників відповідної кваліфікації, які мають необхідні знання та досвід</w:t>
            </w:r>
            <w:r>
              <w:rPr/>
              <w:t>» цього Додатку.</w:t>
            </w:r>
          </w:p>
          <w:p>
            <w:pPr>
              <w:pStyle w:val="Normal"/>
              <w:widowControl w:val="false"/>
              <w:tabs>
                <w:tab w:val="clear" w:pos="708"/>
                <w:tab w:val="left" w:pos="1080" w:leader="none"/>
              </w:tabs>
              <w:jc w:val="both"/>
              <w:rPr/>
            </w:pPr>
            <w:r>
              <w:rPr/>
            </w:r>
          </w:p>
          <w:p>
            <w:pPr>
              <w:pStyle w:val="Normal"/>
              <w:widowControl w:val="false"/>
              <w:jc w:val="both"/>
              <w:rPr>
                <w:bCs/>
              </w:rPr>
            </w:pPr>
            <w:r>
              <w:rPr/>
              <w:t>Форма «Наявність працівників відповідної кваліфікації, які мають необхідні знання та досвід»</w:t>
            </w:r>
          </w:p>
          <w:tbl>
            <w:tblPr>
              <w:tblW w:w="68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98"/>
              <w:gridCol w:w="1855"/>
              <w:gridCol w:w="2421"/>
              <w:gridCol w:w="2201"/>
            </w:tblGrid>
            <w:tr>
              <w:trPr>
                <w:trHeight w:val="730" w:hRule="atLeast"/>
              </w:trPr>
              <w:tc>
                <w:tcPr>
                  <w:tcW w:w="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w:t>
                  </w:r>
                </w:p>
                <w:p>
                  <w:pPr>
                    <w:pStyle w:val="Normal"/>
                    <w:widowControl w:val="false"/>
                    <w:rPr>
                      <w:b/>
                      <w:b/>
                    </w:rPr>
                  </w:pPr>
                  <w:r>
                    <w:rPr/>
                    <w:t>з/п</w:t>
                  </w:r>
                </w:p>
              </w:tc>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П.І.Б.</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Найменування посади  працівника</w:t>
                  </w:r>
                </w:p>
              </w:tc>
              <w:tc>
                <w:tcPr>
                  <w:tcW w:w="2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Назва документу, що підтверджують наявність трудових відносин</w:t>
                  </w:r>
                </w:p>
              </w:tc>
            </w:tr>
            <w:tr>
              <w:trPr>
                <w:trHeight w:val="381" w:hRule="atLeast"/>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w:t>
                  </w:r>
                </w:p>
              </w:tc>
              <w:tc>
                <w:tcPr>
                  <w:tcW w:w="1855" w:type="dxa"/>
                  <w:tcBorders>
                    <w:top w:val="single" w:sz="4" w:space="0" w:color="000000"/>
                    <w:left w:val="single" w:sz="4" w:space="0" w:color="000000"/>
                    <w:bottom w:val="single" w:sz="4" w:space="0" w:color="000000"/>
                    <w:right w:val="single" w:sz="4" w:space="0" w:color="000000"/>
                  </w:tcBorders>
                </w:tcPr>
                <w:p>
                  <w:pPr>
                    <w:pStyle w:val="Normal"/>
                    <w:widowControl w:val="false"/>
                    <w:rPr>
                      <w:b/>
                      <w:b/>
                      <w:u w:val="single"/>
                    </w:rPr>
                  </w:pPr>
                  <w:r>
                    <w:rPr>
                      <w:b/>
                      <w:u w:val="single"/>
                    </w:rPr>
                  </w:r>
                </w:p>
              </w:tc>
              <w:tc>
                <w:tcPr>
                  <w:tcW w:w="2421" w:type="dxa"/>
                  <w:tcBorders>
                    <w:top w:val="single" w:sz="4" w:space="0" w:color="000000"/>
                    <w:left w:val="single" w:sz="4" w:space="0" w:color="000000"/>
                    <w:bottom w:val="single" w:sz="4" w:space="0" w:color="000000"/>
                    <w:right w:val="single" w:sz="4" w:space="0" w:color="000000"/>
                  </w:tcBorders>
                </w:tcPr>
                <w:p>
                  <w:pPr>
                    <w:pStyle w:val="Normal"/>
                    <w:widowControl w:val="false"/>
                    <w:rPr>
                      <w:b/>
                      <w:b/>
                      <w:u w:val="single"/>
                    </w:rPr>
                  </w:pPr>
                  <w:r>
                    <w:rPr>
                      <w:b/>
                      <w:u w:val="single"/>
                    </w:rPr>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rPr>
                      <w:b/>
                      <w:b/>
                      <w:u w:val="single"/>
                    </w:rPr>
                  </w:pPr>
                  <w:r>
                    <w:rPr>
                      <w:b/>
                      <w:u w:val="single"/>
                    </w:rPr>
                  </w:r>
                </w:p>
              </w:tc>
            </w:tr>
          </w:tbl>
          <w:p>
            <w:pPr>
              <w:pStyle w:val="Normal"/>
              <w:widowControl w:val="false"/>
              <w:tabs>
                <w:tab w:val="clear" w:pos="708"/>
                <w:tab w:val="left" w:pos="1080" w:leader="none"/>
              </w:tabs>
              <w:jc w:val="both"/>
              <w:rPr/>
            </w:pPr>
            <w:r>
              <w:rPr/>
            </w:r>
          </w:p>
          <w:p>
            <w:pPr>
              <w:pStyle w:val="Normal"/>
              <w:widowControl w:val="false"/>
              <w:tabs>
                <w:tab w:val="clear" w:pos="708"/>
                <w:tab w:val="left" w:pos="1080" w:leader="none"/>
              </w:tabs>
              <w:jc w:val="both"/>
              <w:rPr>
                <w:rFonts w:eastAsia="Times New Roman"/>
                <w:color w:val="000000"/>
              </w:rPr>
            </w:pPr>
            <w:r>
              <w:rPr>
                <w:rFonts w:eastAsia="Times New Roman"/>
                <w:color w:val="000000"/>
              </w:rPr>
              <w:t>Обов’язкова наявність інженера-проектувальника. Підтвердити взаємовідносини з ними та надати копію кваліфікаційного сертифікату сертифікованого інженера-проектувальника в частині кошторисної документації, завірену його печаткою та підписом.</w:t>
            </w:r>
          </w:p>
          <w:p>
            <w:pPr>
              <w:pStyle w:val="NormalWeb"/>
              <w:widowControl w:val="false"/>
              <w:spacing w:lineRule="auto" w:line="252" w:beforeAutospacing="0" w:before="0" w:afterAutospacing="0" w:after="0"/>
              <w:jc w:val="both"/>
              <w:rPr>
                <w:color w:val="000000"/>
              </w:rPr>
            </w:pPr>
            <w:r>
              <w:rPr>
                <w:color w:val="000000"/>
              </w:rPr>
              <w:t>Обов’язкова наявність електрозварників, які пройшли перевірку знать з питань охорони праці працівників, зайнятих на роботах підвищеної небезпеки (надати Протокол засідання комісії або виписку з такого  протоколу).</w:t>
            </w:r>
          </w:p>
          <w:p>
            <w:pPr>
              <w:pStyle w:val="NormalWeb"/>
              <w:widowControl w:val="false"/>
              <w:spacing w:lineRule="auto" w:line="252" w:beforeAutospacing="0" w:before="0" w:afterAutospacing="0" w:after="0"/>
              <w:jc w:val="both"/>
              <w:rPr/>
            </w:pPr>
            <w:r>
              <w:rPr>
                <w:color w:val="000000"/>
              </w:rPr>
              <w:t xml:space="preserve">На кожного працівника, наведеного у Довідці, надати медичні довідки про проходження періодичного медичного огляду на кожного працівника, інформація про якого надана Учасником, </w:t>
            </w:r>
            <w:r>
              <w:rPr/>
              <w:t>відповідно до п.2.16. Наказу МОЗ України №246 від 21.05.2007 «Порядок проведення медичних оглядів працівників певних категорій», форма за Додатком 8 до Наказу</w:t>
            </w:r>
            <w:r>
              <w:rPr>
                <w:color w:val="000000"/>
              </w:rPr>
              <w:t>.</w:t>
            </w:r>
          </w:p>
          <w:p>
            <w:pPr>
              <w:pStyle w:val="Normal"/>
              <w:widowControl w:val="false"/>
              <w:ind w:firstLine="284"/>
              <w:jc w:val="both"/>
              <w:rPr>
                <w:lang w:val="uk-UA"/>
              </w:rPr>
            </w:pPr>
            <w:r>
              <w:rPr>
                <w:lang w:val="uk-UA"/>
              </w:rPr>
              <w:t xml:space="preserve"> </w:t>
            </w:r>
            <w:r>
              <w:rPr>
                <w:lang w:val="uk-UA"/>
              </w:rPr>
              <w:t>Надати документи, які підтверджують проходження навчання і перевірку знань з питань пожежної безпеки та охорони праці керівника підприємства.</w:t>
            </w:r>
          </w:p>
          <w:p>
            <w:pPr>
              <w:pStyle w:val="Normal"/>
              <w:widowControl w:val="false"/>
              <w:ind w:firstLine="284"/>
              <w:jc w:val="both"/>
              <w:rPr>
                <w:lang w:val="uk-UA"/>
              </w:rPr>
            </w:pPr>
            <w:r>
              <w:rPr>
                <w:b/>
              </w:rPr>
              <w:t>Також необхідно надати наступні документи</w:t>
            </w:r>
            <w:r>
              <w:rPr/>
              <w:t>:</w:t>
            </w:r>
          </w:p>
          <w:p>
            <w:pPr>
              <w:pStyle w:val="Normal"/>
              <w:widowControl w:val="false"/>
              <w:jc w:val="both"/>
              <w:rPr>
                <w:color w:val="000000"/>
                <w:lang w:val="uk-UA"/>
              </w:rPr>
            </w:pPr>
            <w:r>
              <w:rPr>
                <w:color w:val="000000"/>
                <w:lang w:val="uk-UA"/>
              </w:rPr>
              <w:t>- Чинна Декларація (оригінал або копія) відповідності матеріально-технічної бази вимогам законодавства з питань охорони праці, зареєстровану відповідно до діючого законодавства, в тому числі на виконання робіт підвищеної небезпеки, а саме: земляні роботи, що виконуються на глибині понад 2 метри або в зоні розташування підземних комунікацій та на зварювальні та газополум’яні роботи, що виконуються із застосуванням відкритого полум’я.</w:t>
            </w:r>
          </w:p>
          <w:p>
            <w:pPr>
              <w:pStyle w:val="Normal"/>
              <w:widowControl w:val="false"/>
              <w:jc w:val="both"/>
              <w:rPr>
                <w:color w:val="FF0000"/>
                <w:lang w:val="uk-UA"/>
              </w:rPr>
            </w:pPr>
            <w:r>
              <w:rPr>
                <w:color w:val="000000"/>
                <w:lang w:val="uk-UA"/>
              </w:rPr>
              <w:t>- Чинна Декларація (оригінал або копія) відповідності матеріально-технічної бази вимогам законодавства з питань охорони праці, зареєстровану відповідно до діючого законодавства, в тому числі на виконання робіт підвищеної небезпеки, а саме: роботи, що виконуються на висоті понад 1,3 метра.</w:t>
            </w:r>
          </w:p>
        </w:tc>
      </w:tr>
      <w:tr>
        <w:trPr>
          <w:trHeight w:val="561"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pPr>
            <w:r>
              <w:rPr>
                <w:b/>
                <w:bCs/>
              </w:rPr>
              <w:t>3.</w:t>
            </w:r>
          </w:p>
        </w:tc>
        <w:tc>
          <w:tcPr>
            <w:tcW w:w="328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rPr/>
            </w:pPr>
            <w:r>
              <w:rPr/>
              <w:t>Наявність документально підтвердженого досвіду виконання аналогічного договору</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both"/>
              <w:rPr>
                <w:color w:val="000000" w:themeColor="text1"/>
              </w:rPr>
            </w:pPr>
            <w:r>
              <w:rPr>
                <w:color w:val="000000" w:themeColor="text1"/>
              </w:rPr>
              <w:t xml:space="preserve">Довідка про наявність документально підтвердженого досвіду виконання </w:t>
            </w:r>
            <w:r>
              <w:rPr/>
              <w:t>аналогічного(них) договору (рів</w:t>
            </w:r>
            <w:r>
              <w:rPr>
                <w:color w:val="000000" w:themeColor="text1"/>
              </w:rPr>
              <w:t xml:space="preserve"> ), які (який) були укладені в результаті проведен</w:t>
            </w:r>
            <w:bookmarkStart w:id="0" w:name="_GoBack"/>
            <w:bookmarkEnd w:id="0"/>
            <w:r>
              <w:rPr>
                <w:color w:val="000000" w:themeColor="text1"/>
              </w:rPr>
              <w:t>ня процедур закупівель та інформація щодо яких наявна на веб-порталі Уповноваженого органу https://prozorro.gov.ua/, за наведеною формою:</w:t>
            </w:r>
          </w:p>
          <w:tbl>
            <w:tblPr>
              <w:tblW w:w="69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22"/>
              <w:gridCol w:w="1097"/>
              <w:gridCol w:w="1113"/>
              <w:gridCol w:w="1049"/>
              <w:gridCol w:w="2697"/>
            </w:tblGrid>
            <w:tr>
              <w:trPr/>
              <w:tc>
                <w:tcPr>
                  <w:tcW w:w="1022" w:type="dxa"/>
                  <w:tcBorders>
                    <w:top w:val="single" w:sz="4" w:space="0" w:color="000000"/>
                    <w:left w:val="single" w:sz="4" w:space="0" w:color="000000"/>
                    <w:bottom w:val="single" w:sz="4" w:space="0" w:color="000000"/>
                  </w:tcBorders>
                </w:tcPr>
                <w:p>
                  <w:pPr>
                    <w:pStyle w:val="Normal"/>
                    <w:widowControl w:val="false"/>
                    <w:ind w:left="-15" w:right="-114" w:hanging="0"/>
                    <w:jc w:val="center"/>
                    <w:rPr>
                      <w:color w:val="000000" w:themeColor="text1"/>
                    </w:rPr>
                  </w:pPr>
                  <w:r>
                    <w:rPr>
                      <w:color w:val="000000" w:themeColor="text1"/>
                    </w:rPr>
                    <w:t xml:space="preserve">№ </w:t>
                  </w:r>
                  <w:r>
                    <w:rPr>
                      <w:color w:val="000000" w:themeColor="text1"/>
                    </w:rPr>
                    <w:t>з/п</w:t>
                  </w:r>
                </w:p>
              </w:tc>
              <w:tc>
                <w:tcPr>
                  <w:tcW w:w="1097" w:type="dxa"/>
                  <w:tcBorders>
                    <w:top w:val="single" w:sz="4" w:space="0" w:color="000000"/>
                    <w:left w:val="single" w:sz="4" w:space="0" w:color="000000"/>
                    <w:bottom w:val="single" w:sz="4" w:space="0" w:color="000000"/>
                  </w:tcBorders>
                </w:tcPr>
                <w:p>
                  <w:pPr>
                    <w:pStyle w:val="Normal"/>
                    <w:widowControl w:val="false"/>
                    <w:ind w:left="-15" w:right="-108" w:hanging="0"/>
                    <w:jc w:val="center"/>
                    <w:rPr>
                      <w:color w:val="000000" w:themeColor="text1"/>
                    </w:rPr>
                  </w:pPr>
                  <w:r>
                    <w:rPr>
                      <w:color w:val="000000" w:themeColor="text1"/>
                    </w:rPr>
                    <w:t>Замовник</w:t>
                  </w:r>
                </w:p>
              </w:tc>
              <w:tc>
                <w:tcPr>
                  <w:tcW w:w="1113" w:type="dxa"/>
                  <w:tcBorders>
                    <w:top w:val="single" w:sz="4" w:space="0" w:color="000000"/>
                    <w:left w:val="single" w:sz="4" w:space="0" w:color="000000"/>
                    <w:bottom w:val="single" w:sz="4" w:space="0" w:color="000000"/>
                  </w:tcBorders>
                </w:tcPr>
                <w:p>
                  <w:pPr>
                    <w:pStyle w:val="Normal"/>
                    <w:widowControl w:val="false"/>
                    <w:ind w:left="-15" w:right="-108" w:hanging="0"/>
                    <w:jc w:val="center"/>
                    <w:rPr>
                      <w:color w:val="000000" w:themeColor="text1"/>
                    </w:rPr>
                  </w:pPr>
                  <w:r>
                    <w:rPr>
                      <w:color w:val="000000" w:themeColor="text1"/>
                    </w:rPr>
                    <w:t>Предмет договору</w:t>
                  </w:r>
                </w:p>
              </w:tc>
              <w:tc>
                <w:tcPr>
                  <w:tcW w:w="1049" w:type="dxa"/>
                  <w:tcBorders>
                    <w:top w:val="single" w:sz="4" w:space="0" w:color="000000"/>
                    <w:left w:val="single" w:sz="4" w:space="0" w:color="000000"/>
                    <w:bottom w:val="single" w:sz="4" w:space="0" w:color="000000"/>
                  </w:tcBorders>
                </w:tcPr>
                <w:p>
                  <w:pPr>
                    <w:pStyle w:val="Normal"/>
                    <w:widowControl w:val="false"/>
                    <w:ind w:left="-15" w:right="-108" w:hanging="0"/>
                    <w:jc w:val="center"/>
                    <w:rPr>
                      <w:color w:val="000000" w:themeColor="text1"/>
                    </w:rPr>
                  </w:pPr>
                  <w:r>
                    <w:rPr>
                      <w:color w:val="000000" w:themeColor="text1"/>
                    </w:rPr>
                    <w:t>Вартість договору</w:t>
                  </w:r>
                </w:p>
              </w:tc>
              <w:tc>
                <w:tcPr>
                  <w:tcW w:w="2697" w:type="dxa"/>
                  <w:tcBorders>
                    <w:top w:val="single" w:sz="4" w:space="0" w:color="000000"/>
                    <w:left w:val="single" w:sz="4" w:space="0" w:color="000000"/>
                    <w:bottom w:val="single" w:sz="4" w:space="0" w:color="000000"/>
                    <w:right w:val="single" w:sz="4" w:space="0" w:color="000000"/>
                  </w:tcBorders>
                </w:tcPr>
                <w:p>
                  <w:pPr>
                    <w:pStyle w:val="Normal"/>
                    <w:widowControl w:val="false"/>
                    <w:ind w:left="-15" w:right="-108" w:hanging="0"/>
                    <w:jc w:val="center"/>
                    <w:rPr>
                      <w:color w:val="000000" w:themeColor="text1"/>
                    </w:rPr>
                  </w:pPr>
                  <w:r>
                    <w:rPr>
                      <w:color w:val="000000" w:themeColor="text1"/>
                    </w:rPr>
                    <w:t>Номер оголошення на веб-порталі Уповноваженого органу</w:t>
                  </w:r>
                </w:p>
              </w:tc>
            </w:tr>
            <w:tr>
              <w:trPr/>
              <w:tc>
                <w:tcPr>
                  <w:tcW w:w="1022" w:type="dxa"/>
                  <w:tcBorders>
                    <w:top w:val="single" w:sz="4" w:space="0" w:color="000000"/>
                    <w:left w:val="single" w:sz="4" w:space="0" w:color="000000"/>
                    <w:bottom w:val="single" w:sz="4" w:space="0" w:color="000000"/>
                  </w:tcBorders>
                </w:tcPr>
                <w:p>
                  <w:pPr>
                    <w:pStyle w:val="Normal"/>
                    <w:widowControl w:val="false"/>
                    <w:ind w:left="-15" w:right="-154" w:hanging="0"/>
                    <w:jc w:val="center"/>
                    <w:rPr>
                      <w:color w:val="000000" w:themeColor="text1"/>
                    </w:rPr>
                  </w:pPr>
                  <w:r>
                    <w:rPr>
                      <w:color w:val="000000" w:themeColor="text1"/>
                    </w:rPr>
                    <w:t>1</w:t>
                  </w:r>
                </w:p>
              </w:tc>
              <w:tc>
                <w:tcPr>
                  <w:tcW w:w="1097"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t>2</w:t>
                  </w:r>
                </w:p>
              </w:tc>
              <w:tc>
                <w:tcPr>
                  <w:tcW w:w="1113"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t>3</w:t>
                  </w:r>
                </w:p>
              </w:tc>
              <w:tc>
                <w:tcPr>
                  <w:tcW w:w="1049"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t>4</w:t>
                  </w:r>
                </w:p>
              </w:tc>
              <w:tc>
                <w:tcPr>
                  <w:tcW w:w="2697"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center"/>
                    <w:rPr>
                      <w:color w:val="000000" w:themeColor="text1"/>
                    </w:rPr>
                  </w:pPr>
                  <w:r>
                    <w:rPr>
                      <w:color w:val="000000" w:themeColor="text1"/>
                    </w:rPr>
                    <w:t>5</w:t>
                  </w:r>
                </w:p>
              </w:tc>
            </w:tr>
            <w:tr>
              <w:trPr/>
              <w:tc>
                <w:tcPr>
                  <w:tcW w:w="1022" w:type="dxa"/>
                  <w:tcBorders>
                    <w:top w:val="single" w:sz="4" w:space="0" w:color="000000"/>
                    <w:left w:val="single" w:sz="4" w:space="0" w:color="000000"/>
                    <w:bottom w:val="single" w:sz="4" w:space="0" w:color="000000"/>
                  </w:tcBorders>
                </w:tcPr>
                <w:p>
                  <w:pPr>
                    <w:pStyle w:val="Normal"/>
                    <w:widowControl w:val="false"/>
                    <w:ind w:left="-15" w:right="-154" w:hanging="0"/>
                    <w:jc w:val="center"/>
                    <w:rPr>
                      <w:color w:val="000000" w:themeColor="text1"/>
                    </w:rPr>
                  </w:pPr>
                  <w:r>
                    <w:rPr>
                      <w:color w:val="000000" w:themeColor="text1"/>
                    </w:rPr>
                  </w:r>
                </w:p>
              </w:tc>
              <w:tc>
                <w:tcPr>
                  <w:tcW w:w="1097"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r>
                </w:p>
              </w:tc>
              <w:tc>
                <w:tcPr>
                  <w:tcW w:w="1113"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r>
                </w:p>
              </w:tc>
              <w:tc>
                <w:tcPr>
                  <w:tcW w:w="1049"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r>
                </w:p>
              </w:tc>
              <w:tc>
                <w:tcPr>
                  <w:tcW w:w="2697"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center"/>
                    <w:rPr>
                      <w:color w:val="000000" w:themeColor="text1"/>
                    </w:rPr>
                  </w:pPr>
                  <w:r>
                    <w:rPr>
                      <w:color w:val="000000" w:themeColor="text1"/>
                    </w:rPr>
                  </w:r>
                </w:p>
              </w:tc>
            </w:tr>
          </w:tbl>
          <w:p>
            <w:pPr>
              <w:pStyle w:val="ListParagraph"/>
              <w:widowControl w:val="false"/>
              <w:shd w:val="clear" w:color="auto" w:fill="FFFFFF"/>
              <w:tabs>
                <w:tab w:val="clear" w:pos="708"/>
                <w:tab w:val="left" w:pos="5222" w:leader="underscore"/>
              </w:tabs>
              <w:spacing w:lineRule="auto" w:line="240"/>
              <w:ind w:left="705" w:hanging="0"/>
              <w:jc w:val="both"/>
              <w:rPr>
                <w:rFonts w:ascii="Times New Roman" w:hAnsi="Times New Roman"/>
                <w:color w:val="000000" w:themeColor="text1"/>
                <w:sz w:val="24"/>
                <w:szCs w:val="24"/>
                <w:lang w:eastAsia="zh-CN"/>
              </w:rPr>
            </w:pPr>
            <w:r>
              <w:rPr>
                <w:rFonts w:ascii="Times New Roman" w:hAnsi="Times New Roman"/>
                <w:sz w:val="24"/>
                <w:szCs w:val="24"/>
              </w:rPr>
              <w:t xml:space="preserve">  </w:t>
            </w:r>
            <w:r>
              <w:rPr>
                <w:rFonts w:ascii="Times New Roman" w:hAnsi="Times New Roman"/>
                <w:color w:val="000000" w:themeColor="text1"/>
                <w:sz w:val="24"/>
                <w:szCs w:val="24"/>
                <w:lang w:eastAsia="zh-CN"/>
              </w:rPr>
              <w:t>* 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pPr>
              <w:pStyle w:val="Normal"/>
              <w:widowControl w:val="false"/>
              <w:jc w:val="both"/>
              <w:rPr/>
            </w:pPr>
            <w:r>
              <w:rPr>
                <w:rFonts w:eastAsia="Times New Roman"/>
                <w:color w:val="000000"/>
              </w:rPr>
              <w:t xml:space="preserve">Аналогічним є договір, який (кожен окремо або у сукупності)  містить </w:t>
            </w:r>
            <w:r>
              <w:rPr/>
              <w:t>у собі роботи усі наступні роботи: загальнобудівельні роботи, роботи з заземлення, роботи з улаштування блискавкозихисту.</w:t>
            </w:r>
          </w:p>
          <w:p>
            <w:pPr>
              <w:pStyle w:val="Normal"/>
              <w:widowControl w:val="false"/>
              <w:shd w:val="clear" w:color="auto" w:fill="FFFFFF"/>
              <w:tabs>
                <w:tab w:val="clear" w:pos="708"/>
                <w:tab w:val="left" w:pos="5222" w:leader="underscore"/>
              </w:tabs>
              <w:ind w:left="-15" w:hanging="0"/>
              <w:jc w:val="both"/>
              <w:rPr>
                <w:color w:val="000000"/>
              </w:rPr>
            </w:pPr>
            <w:r>
              <w:rPr>
                <w:color w:val="000000"/>
              </w:rPr>
              <w:t>Договори мають бути виконаними в повному обсязі.</w:t>
            </w:r>
          </w:p>
          <w:p>
            <w:pPr>
              <w:pStyle w:val="NoSpacing"/>
              <w:widowControl w:val="false"/>
              <w:jc w:val="both"/>
              <w:rPr>
                <w:rFonts w:ascii="Times New Roman" w:hAnsi="Times New Roman" w:cs="Times New Roman"/>
                <w:lang w:val="uk-UA"/>
              </w:rPr>
            </w:pPr>
            <w:r>
              <w:rPr>
                <w:rFonts w:cs="Times New Roman" w:ascii="Times New Roman" w:hAnsi="Times New Roman"/>
              </w:rPr>
              <w:t xml:space="preserve">Аналогічні договори надаються </w:t>
            </w:r>
            <w:r>
              <w:rPr>
                <w:rFonts w:cs="Times New Roman" w:ascii="Times New Roman" w:hAnsi="Times New Roman"/>
                <w:color w:val="000000"/>
              </w:rPr>
              <w:t>з усіма додатками, які зазначені в договорі.</w:t>
            </w:r>
          </w:p>
        </w:tc>
      </w:tr>
    </w:tbl>
    <w:p>
      <w:pPr>
        <w:pStyle w:val="Normal"/>
        <w:shd w:val="clear" w:color="auto" w:fill="FFFFFF"/>
        <w:suppressAutoHyphens w:val="true"/>
        <w:spacing w:before="0" w:after="120"/>
        <w:jc w:val="both"/>
        <w:rPr>
          <w:lang w:val="uk-UA"/>
        </w:rPr>
      </w:pPr>
      <w:r>
        <w:rPr>
          <w:lang w:val="uk-UA"/>
        </w:rPr>
      </w:r>
    </w:p>
    <w:p>
      <w:pPr>
        <w:pStyle w:val="NormalWeb"/>
        <w:widowControl w:val="false"/>
        <w:spacing w:beforeAutospacing="0" w:before="0" w:afterAutospacing="0" w:after="0"/>
        <w:ind w:right="113" w:hanging="0"/>
        <w:jc w:val="both"/>
        <w:rPr/>
      </w:pPr>
      <w:r>
        <w:rPr/>
        <w:t xml:space="preserve">Документальне підтвердження відповідності пропозиції учасника вимогам документації також необхідно завантажити:   </w:t>
      </w:r>
    </w:p>
    <w:p>
      <w:pPr>
        <w:pStyle w:val="NormalWeb"/>
        <w:widowControl w:val="false"/>
        <w:numPr>
          <w:ilvl w:val="0"/>
          <w:numId w:val="2"/>
        </w:numPr>
        <w:spacing w:beforeAutospacing="0" w:before="0" w:afterAutospacing="0" w:after="0"/>
        <w:ind w:left="1080" w:right="113" w:hanging="360"/>
        <w:jc w:val="both"/>
        <w:rPr/>
      </w:pPr>
      <w:r>
        <w:rPr/>
        <w:t>договірну ціну;</w:t>
      </w:r>
    </w:p>
    <w:p>
      <w:pPr>
        <w:pStyle w:val="NormalWeb"/>
        <w:widowControl w:val="false"/>
        <w:numPr>
          <w:ilvl w:val="0"/>
          <w:numId w:val="2"/>
        </w:numPr>
        <w:spacing w:beforeAutospacing="0" w:before="0" w:afterAutospacing="0" w:after="0"/>
        <w:ind w:left="1080" w:right="113" w:hanging="360"/>
        <w:jc w:val="both"/>
        <w:rPr/>
      </w:pPr>
      <w:r>
        <w:rPr/>
        <w:t>пояснювальну записку;</w:t>
      </w:r>
    </w:p>
    <w:p>
      <w:pPr>
        <w:pStyle w:val="NormalWeb"/>
        <w:widowControl w:val="false"/>
        <w:numPr>
          <w:ilvl w:val="0"/>
          <w:numId w:val="2"/>
        </w:numPr>
        <w:spacing w:beforeAutospacing="0" w:before="0" w:afterAutospacing="0" w:after="0"/>
        <w:ind w:left="1080" w:right="113" w:hanging="360"/>
        <w:jc w:val="both"/>
        <w:rPr/>
      </w:pPr>
      <w:r>
        <w:rPr/>
        <w:t xml:space="preserve">зведений кошторисний розрахунок на підрядні роботи </w:t>
      </w:r>
    </w:p>
    <w:p>
      <w:pPr>
        <w:pStyle w:val="NormalWeb"/>
        <w:widowControl w:val="false"/>
        <w:numPr>
          <w:ilvl w:val="0"/>
          <w:numId w:val="2"/>
        </w:numPr>
        <w:spacing w:beforeAutospacing="0" w:before="0" w:afterAutospacing="0" w:after="0"/>
        <w:ind w:left="1080" w:right="113" w:hanging="360"/>
        <w:jc w:val="both"/>
        <w:rPr/>
      </w:pPr>
      <w:r>
        <w:rPr/>
        <w:t xml:space="preserve">локальні кошториси на підрядні роботи  </w:t>
      </w:r>
    </w:p>
    <w:p>
      <w:pPr>
        <w:pStyle w:val="NormalWeb"/>
        <w:widowControl w:val="false"/>
        <w:numPr>
          <w:ilvl w:val="0"/>
          <w:numId w:val="2"/>
        </w:numPr>
        <w:spacing w:beforeAutospacing="0" w:before="0" w:afterAutospacing="0" w:after="0"/>
        <w:ind w:left="1080" w:right="113" w:hanging="360"/>
        <w:jc w:val="both"/>
        <w:rPr/>
      </w:pPr>
      <w:r>
        <w:rPr/>
        <w:t>розрахунки загальновиробничих витрат до локальних кошторисів.</w:t>
      </w:r>
    </w:p>
    <w:p>
      <w:pPr>
        <w:pStyle w:val="NormalWeb"/>
        <w:widowControl w:val="false"/>
        <w:spacing w:beforeAutospacing="0" w:before="0" w:afterAutospacing="0" w:after="0"/>
        <w:ind w:right="113" w:hanging="0"/>
        <w:jc w:val="both"/>
        <w:rPr/>
      </w:pPr>
      <w:r>
        <w:rPr/>
      </w:r>
    </w:p>
    <w:p>
      <w:pPr>
        <w:pStyle w:val="Normal"/>
        <w:keepNext w:val="true"/>
        <w:keepLines/>
        <w:ind w:right="120" w:firstLine="455"/>
        <w:jc w:val="both"/>
        <w:rPr>
          <w:lang w:val="uk-UA"/>
        </w:rPr>
      </w:pPr>
      <w:r>
        <w:rPr>
          <w:lang w:val="uk-UA"/>
        </w:rPr>
        <w:t>Договірна ціна є динамічною (крім випадків передбачених цією документацією).</w:t>
      </w:r>
    </w:p>
    <w:p>
      <w:pPr>
        <w:pStyle w:val="Normal"/>
        <w:keepNext w:val="true"/>
        <w:keepLines/>
        <w:ind w:right="120" w:firstLine="455"/>
        <w:jc w:val="both"/>
        <w:rPr>
          <w:lang w:val="uk-UA"/>
        </w:rPr>
      </w:pPr>
      <w:r>
        <w:rPr>
          <w:lang w:val="uk-UA"/>
        </w:rPr>
        <w:t xml:space="preserve">Ціну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w:t>
      </w:r>
    </w:p>
    <w:p>
      <w:pPr>
        <w:pStyle w:val="Normal"/>
        <w:keepNext w:val="true"/>
        <w:keepLines/>
        <w:ind w:right="120" w:firstLine="455"/>
        <w:jc w:val="both"/>
        <w:rPr>
          <w:lang w:val="uk-UA"/>
        </w:rPr>
      </w:pPr>
      <w:r>
        <w:rPr>
          <w:lang w:val="uk-UA"/>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pPr>
        <w:pStyle w:val="Normal"/>
        <w:keepNext w:val="true"/>
        <w:keepLines/>
        <w:ind w:right="120" w:firstLine="455"/>
        <w:jc w:val="both"/>
        <w:rPr>
          <w:lang w:val="uk-UA"/>
        </w:rPr>
      </w:pPr>
      <w:r>
        <w:rPr>
          <w:lang w:val="uk-UA"/>
        </w:rPr>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t xml:space="preserve">      </w:t>
      </w:r>
      <w:r>
        <w:rPr>
          <w:lang w:val="uk-UA"/>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rPr>
          <w:lang w:val="uk-UA"/>
        </w:rPr>
      </w:pPr>
      <w:r>
        <w:rPr>
          <w:lang w:val="uk-UA"/>
        </w:rPr>
        <w:t xml:space="preserve">АНТИДЕМПІНГОВЕ ЗАСТЕРЕЖЕННЯ ЗАМОВНИКА: </w:t>
      </w:r>
    </w:p>
    <w:p>
      <w:pPr>
        <w:pStyle w:val="Normal"/>
        <w:jc w:val="both"/>
        <w:rPr>
          <w:bCs/>
          <w:lang w:val="uk-UA"/>
        </w:rPr>
      </w:pPr>
      <w:r>
        <w:rPr>
          <w:lang w:val="uk-UA"/>
        </w:rPr>
        <w:t>У разі зниження Учасником ціни остаточної пропозиції на більше ніж 2% (4</w:t>
      </w:r>
      <w:r>
        <w:rPr/>
        <w:t> </w:t>
      </w:r>
      <w:r>
        <w:rPr>
          <w:lang w:val="uk-UA"/>
        </w:rPr>
        <w:t>085 784,6</w:t>
      </w:r>
      <w:r>
        <w:rPr>
          <w:lang w:val="uk-UA"/>
        </w:rPr>
        <w:t>3</w:t>
      </w:r>
      <w:r>
        <w:rPr>
          <w:lang w:val="uk-UA"/>
        </w:rPr>
        <w:t xml:space="preserve"> грн. з ПДВ (або менше) (у разі якщо учасник є платником ПДВ) та менше) від очікуваної вартості предмета закупівлі, завантажена договірна ціна для такого учасника повинна бути твердою.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lang w:val="uk-UA"/>
        </w:rPr>
        <w:t xml:space="preserve">Учасник торгів, початкова пропозиція якого більше ніж на 2% нижча очікуваної вартості предмета закупівлі, зобов’язаний у складі своєї тендерної пропозиції надати детальне обгрунтування запропонованої ціни для виконання робіт за предметом закупівлі. </w:t>
      </w:r>
      <w:r>
        <w:rPr/>
        <w:t>Детальне обґрунтування початкової пропозиції подається у вигляді гарантійного листа з додатками. Гарантійний лист повинен містити предмет закупівлі, розмір початкової пропозиції, реквізити Учасника (повне найменування, адреса, прізвище, ім'я, по-батькові керівника та номер телефону), гарантію про те, що роботи будуть виконані якісно та в повному обсязі відповідно до умов договору та на суму початкової пропозиції. Додатки до гарантійного листа Учасника повинні містити: гарантійні листи від виробників, та/або дилерів, та/або дистриб’юторів</w:t>
      </w:r>
      <w:r>
        <w:rPr>
          <w:lang w:val="uk-UA"/>
        </w:rPr>
        <w:t xml:space="preserve"> </w:t>
      </w:r>
      <w:r>
        <w:rPr/>
        <w:t>щодо поставки матеріальних ресурсів (виробів, обладнання, тощо) в обсягах, необхідних для виконання робіт за предметом закупівлі, з вказівкою у гарантійних листах предмету закупівлі, обсягів поставки та вартості за одиницю матеріальних ресурсів (виробів, обладнання, тощо) за цінами, що пропонуються Учасником.</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Якщо матеріальні ресурси (вироби, обладнання, тощо), які будуть використовуватися при виконанні робіт знаходяться у власності учасника, тоді необхідно надати підтверджуючі документи на отримання матеріальних ресурсів (виробів, обладнання, тощо) з вказівкою їх вартості та документи, які підтверджують наявність матеріальних ресурсів (виробів, обладнання, тощо) у учасника на дату подання тендерної пропозиції (оборотно-сальдова відомість/витяг з оборотно-сальдової відомості тощо).</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 xml:space="preserve">При цьому Замовник зауважує, що додатки до гарантійного листа мають бути чітко обгрунтованими, та такими, що надають документальне підтвердження суттєвому заниженню вартості предмету закупівлі. Окремо зауважимо, що кошторисні розрахунки не можуть виступати у ролі додатків до даного гарантійного листа, так як є окремим документом, що подається у складі тендерної пропозиції.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Учасник торгів, остаточна пропозиція якого за результатами автоматичної оцінки визначена, як найбільш економічно вигідна та має статус «Переможець», але за результатами аукціону більше ніж на</w:t>
      </w:r>
      <w:r>
        <w:rPr>
          <w:lang w:val="uk-UA"/>
        </w:rPr>
        <w:t xml:space="preserve"> 2</w:t>
      </w:r>
      <w:r>
        <w:rPr/>
        <w:t xml:space="preserve"> % нижча очікуваної вартості предмета закупівлі, зобов’язаний протягом доби після настання цієї події надати детальне обгрунтування запропонованої ним ціни за результатами аукціону, шляхом надання замовнику детального обґрунтування остаточної пропозиції, яке  подається у вигляді гарантійного листа з додатками, зазначеними у попередніх абзацах даного розділу.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 xml:space="preserve">При цьому Замовник зауважує, що додатки до гарантійного листа мають бути чітко обгрунтованими, та такими, що надають документальне підтвердження суттєвому заниженню вартості предмету закупівлі. Окремо зауважимо, що кошторисні розрахунки не можуть виступати у ролі додатків до даного гарантійного листа, так як є окремим документом, що подається переможцем торгів до підписання договору.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Ненадання Учасником вищезазначених документів є відмовою від подальшого підписання договору про закупівлю відповідно до вимог тендерної документації, така тендерна пропозиція буде відхилена замовником відповідно до абзацу першого п.3 ч.1 ст.31 Закону.</w:t>
      </w:r>
    </w:p>
    <w:p>
      <w:pPr>
        <w:pStyle w:val="NormalWeb"/>
        <w:keepNext w:val="true"/>
        <w:keepLines/>
        <w:spacing w:beforeAutospacing="0" w:before="0" w:afterAutospacing="0" w:after="0"/>
        <w:ind w:right="120" w:firstLine="455"/>
        <w:jc w:val="both"/>
        <w:rPr/>
      </w:pPr>
      <w:r>
        <w:rPr/>
        <w:t xml:space="preserve">Замовник має право перевірити відповідність наявних матеріальних ресурсів (виробів, обладнання, тощо) у Учасника-Переможця документам, які були надані Замовнику для підтвердження інформації, зазначеної в гарантійному листі щодо наявності та вартості всіх матеріальних ресурсів (виробів, обладнання, тощо).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   </w:t>
      </w:r>
    </w:p>
    <w:p>
      <w:pPr>
        <w:pStyle w:val="Normal"/>
        <w:keepNext w:val="true"/>
        <w:keepLines/>
        <w:ind w:right="120" w:firstLine="455"/>
        <w:jc w:val="both"/>
        <w:rPr/>
      </w:pPr>
      <w:r>
        <w:rPr/>
        <w:t xml:space="preserve">Розрахунок ціни пропозиції подається в сканованому вигляді, виконаний у програмному комплексі АВК-5 (надати копію ліцензії) та додатково в електронному вигляді у форматі інформаційного блоку даних </w:t>
      </w:r>
      <w:r>
        <w:rPr>
          <w:lang w:val="en-US"/>
        </w:rPr>
        <w:t>imd</w:t>
      </w:r>
      <w:r>
        <w:rPr/>
        <w:t>.</w:t>
      </w:r>
    </w:p>
    <w:p>
      <w:pPr>
        <w:pStyle w:val="Normal"/>
        <w:keepNext w:val="true"/>
        <w:keepLines/>
        <w:ind w:right="120" w:firstLine="455"/>
        <w:jc w:val="both"/>
        <w:rPr/>
      </w:pPr>
      <w:r>
        <w:rPr/>
        <w:t>Учасник в складі своєї пропозиції надає погоджений Замовником акт огляду об’єкту та визначення фактичного об’єму робіт згідно цієї документації.</w:t>
      </w:r>
    </w:p>
    <w:p>
      <w:pPr>
        <w:pStyle w:val="NormalWeb"/>
        <w:keepNext w:val="true"/>
        <w:keepLines/>
        <w:spacing w:beforeAutospacing="0" w:before="0" w:afterAutospacing="0" w:after="0"/>
        <w:ind w:right="120" w:firstLine="455"/>
        <w:jc w:val="both"/>
        <w:rPr>
          <w:lang w:val="ru-RU"/>
        </w:rPr>
      </w:pPr>
      <w:r>
        <w:rPr>
          <w:lang w:val="ru-RU"/>
        </w:rPr>
      </w:r>
    </w:p>
    <w:p>
      <w:pPr>
        <w:pStyle w:val="NormalWeb"/>
        <w:spacing w:beforeAutospacing="0" w:before="0" w:afterAutospacing="0" w:after="0"/>
        <w:ind w:firstLine="459"/>
        <w:jc w:val="both"/>
        <w:rPr>
          <w:color w:val="000000"/>
        </w:rPr>
      </w:pPr>
      <w:r>
        <w:rPr>
          <w:color w:val="000000"/>
        </w:rPr>
        <w:t xml:space="preserve">Технічні, якісні характеристики предмета закупівлі передбачають застосування заходів із захисту довкілля, відповідно до чого у складі пропозиції учасником надається гарантійний лист (довідка, тощо) довільної форми щодо застосування заходів із захисту довкілля під час виконання робіт за предметом закупівлі. Ціна пропозиції Учасника означає суму (з урахуванням ПДВ, у разі, якщо учасник не є платником ПДВ зазначити «не платник»), за яку Учасник зобов’язується виконати всі види робіт, передбачених проектною документацією. Відповідальність за виконання вимог екологічної безпеки несе учасник - переможець. </w:t>
      </w:r>
    </w:p>
    <w:p>
      <w:pPr>
        <w:pStyle w:val="NormalWeb"/>
        <w:spacing w:beforeAutospacing="0" w:before="0" w:afterAutospacing="0" w:after="0"/>
        <w:ind w:firstLine="459"/>
        <w:jc w:val="both"/>
        <w:rPr/>
      </w:pPr>
      <w:r>
        <w:rPr/>
      </w:r>
    </w:p>
    <w:p>
      <w:pPr>
        <w:pStyle w:val="NormalWeb"/>
        <w:spacing w:beforeAutospacing="0" w:before="0" w:afterAutospacing="0" w:after="0"/>
        <w:ind w:firstLine="459"/>
        <w:jc w:val="both"/>
        <w:rPr>
          <w:color w:val="000000"/>
        </w:rPr>
      </w:pPr>
      <w:r>
        <w:rPr>
          <w:color w:val="000000"/>
        </w:rPr>
        <w:t> </w:t>
      </w:r>
      <w:r>
        <w:rPr>
          <w:color w:val="000000"/>
        </w:rPr>
        <w:t>Пропозиція повинна містити гарантійний лист про надання протоколу погодження договірної ціни на момент укладання договору.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pPr>
        <w:pStyle w:val="NormalWeb"/>
        <w:spacing w:beforeAutospacing="0" w:before="0" w:afterAutospacing="0" w:after="0"/>
        <w:ind w:firstLine="459"/>
        <w:jc w:val="both"/>
        <w:rPr/>
      </w:pPr>
      <w:r>
        <w:rPr/>
      </w:r>
    </w:p>
    <w:p>
      <w:pPr>
        <w:pStyle w:val="NormalWeb"/>
        <w:spacing w:beforeAutospacing="0" w:before="0" w:afterAutospacing="0" w:after="0"/>
        <w:ind w:firstLine="459"/>
        <w:jc w:val="both"/>
        <w:rPr/>
      </w:pPr>
      <w:r>
        <w:rPr/>
        <w:t>У разі, якщо учасник торгів є товариство з обмеженою та/або додатковою відповідальністю, такий учасник в складі   пропозиції повинен надати протокол загальних зборів учасників з посиланням на номер оголошення, згідно змісту якого уповноваженій посадовій/службовій особі учасника  надається дозвіл укладати договір за результатами даної (цієї) закупівлі та суми пропозиції.</w:t>
      </w:r>
    </w:p>
    <w:p>
      <w:pPr>
        <w:pStyle w:val="NormalWeb"/>
        <w:spacing w:beforeAutospacing="0" w:before="0" w:afterAutospacing="0" w:after="0"/>
        <w:ind w:firstLine="459"/>
        <w:jc w:val="both"/>
        <w:rPr/>
      </w:pPr>
      <w:r>
        <w:rPr/>
      </w:r>
    </w:p>
    <w:p>
      <w:pPr>
        <w:pStyle w:val="NormalWeb"/>
        <w:spacing w:beforeAutospacing="0" w:before="0" w:afterAutospacing="0" w:after="0"/>
        <w:ind w:firstLine="459"/>
        <w:jc w:val="both"/>
        <w:rPr>
          <w:i/>
          <w:i/>
          <w:lang w:val="ru-RU"/>
        </w:rPr>
      </w:pPr>
      <w:r>
        <w:rPr/>
        <w:t>Учасники повинні підтвердити відповідність своєї участі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pPr>
        <w:pStyle w:val="Normal"/>
        <w:ind w:left="142" w:hanging="0"/>
        <w:jc w:val="both"/>
        <w:rPr>
          <w:i/>
          <w:i/>
          <w:iCs/>
          <w:lang w:val="uk-UA"/>
        </w:rPr>
      </w:pPr>
      <w:r>
        <w:rPr>
          <w:i/>
          <w:iCs/>
          <w:lang w:val="uk-UA"/>
        </w:rPr>
      </w:r>
    </w:p>
    <w:p>
      <w:pPr>
        <w:pStyle w:val="NormalWeb"/>
        <w:widowControl w:val="false"/>
        <w:spacing w:beforeAutospacing="0" w:before="0" w:afterAutospacing="0" w:after="0"/>
        <w:ind w:right="113" w:hanging="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в якому вони наведені.</w:t>
      </w:r>
    </w:p>
    <w:p>
      <w:pPr>
        <w:pStyle w:val="Normal"/>
        <w:shd w:val="clear" w:color="auto" w:fill="FFFFFF"/>
        <w:suppressAutoHyphens w:val="true"/>
        <w:spacing w:before="0" w:after="120"/>
        <w:ind w:firstLine="709"/>
        <w:jc w:val="both"/>
        <w:rPr>
          <w:lang w:val="uk-UA"/>
        </w:rPr>
      </w:pPr>
      <w:r>
        <w:rPr>
          <w:lang w:val="uk-UA"/>
        </w:rP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 </w:t>
      </w:r>
    </w:p>
    <w:p>
      <w:pPr>
        <w:pStyle w:val="Normal"/>
        <w:shd w:val="clear" w:color="auto" w:fill="FFFFFF"/>
        <w:suppressAutoHyphens w:val="true"/>
        <w:spacing w:before="0" w:after="120"/>
        <w:ind w:firstLine="709"/>
        <w:jc w:val="both"/>
        <w:rPr>
          <w:lang w:val="uk-UA"/>
        </w:rPr>
      </w:pPr>
      <w:r>
        <w:rPr>
          <w:lang w:val="uk-UA"/>
        </w:rPr>
        <w:t xml:space="preserve"> </w:t>
      </w:r>
    </w:p>
    <w:p>
      <w:pPr>
        <w:pStyle w:val="Normal"/>
        <w:shd w:val="clear" w:color="auto" w:fill="FFFFFF"/>
        <w:suppressAutoHyphens w:val="true"/>
        <w:spacing w:before="0" w:after="120"/>
        <w:ind w:firstLine="709"/>
        <w:jc w:val="center"/>
        <w:rPr>
          <w:lang w:val="uk-UA"/>
        </w:rPr>
      </w:pPr>
      <w:r>
        <w:rPr>
          <w:lang w:val="uk-UA"/>
        </w:rPr>
        <w:t>ДЕФЕКТНИЙ АКТ</w:t>
      </w:r>
    </w:p>
    <w:p>
      <w:pPr>
        <w:pStyle w:val="Normal"/>
        <w:rPr>
          <w:sz w:val="2"/>
          <w:szCs w:val="2"/>
          <w:lang w:val="uk-UA"/>
        </w:rPr>
      </w:pPr>
      <w:r>
        <w:rPr>
          <w:sz w:val="2"/>
          <w:szCs w:val="2"/>
          <w:lang w:val="uk-UA"/>
        </w:rPr>
      </w:r>
    </w:p>
    <w:tbl>
      <w:tblPr>
        <w:tblW w:w="10425" w:type="dxa"/>
        <w:jc w:val="left"/>
        <w:tblInd w:w="-361" w:type="dxa"/>
        <w:tblLayout w:type="fixed"/>
        <w:tblCellMar>
          <w:top w:w="0" w:type="dxa"/>
          <w:left w:w="28" w:type="dxa"/>
          <w:bottom w:w="0" w:type="dxa"/>
          <w:right w:w="28" w:type="dxa"/>
        </w:tblCellMar>
      </w:tblPr>
      <w:tblGrid>
        <w:gridCol w:w="574"/>
        <w:gridCol w:w="3"/>
        <w:gridCol w:w="50"/>
        <w:gridCol w:w="47"/>
        <w:gridCol w:w="4737"/>
        <w:gridCol w:w="604"/>
        <w:gridCol w:w="21"/>
        <w:gridCol w:w="9"/>
        <w:gridCol w:w="35"/>
        <w:gridCol w:w="1391"/>
        <w:gridCol w:w="16"/>
        <w:gridCol w:w="41"/>
        <w:gridCol w:w="1321"/>
        <w:gridCol w:w="76"/>
        <w:gridCol w:w="51"/>
        <w:gridCol w:w="1371"/>
        <w:gridCol w:w="17"/>
        <w:gridCol w:w="60"/>
      </w:tblGrid>
      <w:tr>
        <w:trPr/>
        <w:tc>
          <w:tcPr>
            <w:tcW w:w="10364" w:type="dxa"/>
            <w:gridSpan w:val="17"/>
            <w:tcBorders/>
          </w:tcPr>
          <w:p>
            <w:pPr>
              <w:pStyle w:val="Normal"/>
              <w:widowControl w:val="false"/>
              <w:tabs>
                <w:tab w:val="clear" w:pos="708"/>
              </w:tabs>
              <w:bidi w:val="0"/>
              <w:spacing w:before="0" w:after="0"/>
              <w:ind w:left="0" w:right="0" w:hanging="0"/>
              <w:rPr>
                <w:highlight w:val="yellow"/>
                <w:lang w:val="uk-UA"/>
              </w:rPr>
            </w:pPr>
            <w:r>
              <w:rPr>
                <w:rFonts w:cs="Arial"/>
                <w:b w:val="false"/>
                <w:bCs w:val="false"/>
                <w:spacing w:val="-3"/>
                <w:sz w:val="24"/>
                <w:szCs w:val="24"/>
                <w:shd w:fill="auto" w:val="clear"/>
                <w:lang w:val="uk-UA"/>
              </w:rPr>
              <w:t xml:space="preserve">Поточний ремонт покрівлі корпусу А1 Вознесенської загальноосвітної школи І-ІІІ ступеня №5 </w:t>
            </w:r>
            <w:r>
              <w:rPr>
                <w:rFonts w:eastAsia="Times New Roman" w:cs="Arial"/>
                <w:b w:val="false"/>
                <w:bCs w:val="false"/>
                <w:spacing w:val="-3"/>
                <w:sz w:val="24"/>
                <w:szCs w:val="24"/>
                <w:shd w:fill="auto" w:val="clear"/>
                <w:lang w:val="uk-UA"/>
              </w:rPr>
              <w:t>Вознесенської міської ради по вул.Матросова, 205, в м.Вознесенськ Миколаївської області (ДК 021:2015 «Єдиний закупівельний словник»:45260000-7 - Покрівельні роботи та інші спеціалізовані будівельні роботи)</w:t>
            </w:r>
          </w:p>
        </w:tc>
        <w:tc>
          <w:tcPr>
            <w:tcW w:w="60" w:type="dxa"/>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5411" w:type="dxa"/>
            <w:gridSpan w:val="5"/>
            <w:tcBorders/>
          </w:tcPr>
          <w:p>
            <w:pPr>
              <w:pStyle w:val="Normal"/>
              <w:widowControl w:val="false"/>
              <w:tabs>
                <w:tab w:val="clear" w:pos="708"/>
              </w:tabs>
              <w:bidi w:val="0"/>
              <w:spacing w:before="0" w:after="0"/>
              <w:ind w:left="0" w:right="0" w:hanging="0"/>
              <w:rPr>
                <w:highlight w:val="yellow"/>
                <w:lang w:val="uk-UA"/>
              </w:rPr>
            </w:pPr>
            <w:r>
              <w:rPr>
                <w:highlight w:val="yellow"/>
                <w:lang w:val="uk-UA"/>
              </w:rPr>
            </w:r>
          </w:p>
        </w:tc>
        <w:tc>
          <w:tcPr>
            <w:tcW w:w="4953" w:type="dxa"/>
            <w:gridSpan w:val="12"/>
            <w:tcBorders/>
          </w:tcPr>
          <w:p>
            <w:pPr>
              <w:pStyle w:val="Normal"/>
              <w:widowControl w:val="false"/>
              <w:tabs>
                <w:tab w:val="clear" w:pos="708"/>
              </w:tabs>
              <w:bidi w:val="0"/>
              <w:spacing w:before="0" w:after="0"/>
              <w:ind w:left="0" w:right="0" w:hanging="0"/>
              <w:jc w:val="center"/>
              <w:rPr>
                <w:highlight w:val="yellow"/>
                <w:lang w:val="uk-UA"/>
              </w:rPr>
            </w:pPr>
            <w:r>
              <w:rPr>
                <w:highlight w:val="yellow"/>
                <w:lang w:val="uk-UA"/>
              </w:rPr>
            </w:r>
          </w:p>
        </w:tc>
        <w:tc>
          <w:tcPr>
            <w:tcW w:w="60" w:type="dxa"/>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10364" w:type="dxa"/>
            <w:gridSpan w:val="17"/>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Об'єми робіт</w:t>
            </w:r>
          </w:p>
        </w:tc>
        <w:tc>
          <w:tcPr>
            <w:tcW w:w="60" w:type="dxa"/>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577" w:type="dxa"/>
            <w:gridSpan w:val="2"/>
            <w:tcBorders>
              <w:top w:val="single" w:sz="12" w:space="0" w:color="000000"/>
              <w:left w:val="single" w:sz="12"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w:t>
            </w:r>
          </w:p>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Ч.ч.</w:t>
            </w:r>
          </w:p>
        </w:tc>
        <w:tc>
          <w:tcPr>
            <w:tcW w:w="5503" w:type="dxa"/>
            <w:gridSpan w:val="7"/>
            <w:tcBorders>
              <w:top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highlight w:val="yellow"/>
                <w:lang w:val="uk-UA"/>
              </w:rPr>
            </w:r>
          </w:p>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Найменування робіт і витрат</w:t>
            </w:r>
          </w:p>
        </w:tc>
        <w:tc>
          <w:tcPr>
            <w:tcW w:w="1448" w:type="dxa"/>
            <w:gridSpan w:val="3"/>
            <w:tcBorders>
              <w:top w:val="single" w:sz="12" w:space="0" w:color="000000"/>
              <w:lef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Одиниця</w:t>
            </w:r>
          </w:p>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виміру</w:t>
            </w:r>
          </w:p>
        </w:tc>
        <w:tc>
          <w:tcPr>
            <w:tcW w:w="1448" w:type="dxa"/>
            <w:gridSpan w:val="3"/>
            <w:tcBorders>
              <w:top w:val="single" w:sz="12" w:space="0" w:color="000000"/>
              <w:left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Кількість</w:t>
            </w:r>
          </w:p>
        </w:tc>
        <w:tc>
          <w:tcPr>
            <w:tcW w:w="1448" w:type="dxa"/>
            <w:gridSpan w:val="3"/>
            <w:tcBorders>
              <w:top w:val="single" w:sz="12" w:space="0" w:color="000000"/>
              <w:left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Примітка</w:t>
            </w:r>
          </w:p>
        </w:tc>
      </w:tr>
      <w:tr>
        <w:trPr/>
        <w:tc>
          <w:tcPr>
            <w:tcW w:w="577"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503" w:type="dxa"/>
            <w:gridSpan w:val="7"/>
            <w:tcBorders>
              <w:top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2</w:t>
            </w:r>
          </w:p>
        </w:tc>
        <w:tc>
          <w:tcPr>
            <w:tcW w:w="1448"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4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4</w:t>
            </w:r>
          </w:p>
        </w:tc>
        <w:tc>
          <w:tcPr>
            <w:tcW w:w="1448" w:type="dxa"/>
            <w:gridSpan w:val="3"/>
            <w:tcBorders>
              <w:top w:val="single" w:sz="4" w:space="0" w:color="000000"/>
              <w:left w:val="single" w:sz="4" w:space="0" w:color="000000"/>
              <w:bottom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5</w:t>
            </w:r>
          </w:p>
        </w:tc>
      </w:tr>
      <w:tr>
        <w:trPr/>
        <w:tc>
          <w:tcPr>
            <w:tcW w:w="577" w:type="dxa"/>
            <w:gridSpan w:val="2"/>
            <w:tcBorders>
              <w:left w:val="single" w:sz="12"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503" w:type="dxa"/>
            <w:gridSpan w:val="7"/>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Розбирання покриттів покрівлі з хвилястих</w:t>
            </w:r>
          </w:p>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азбестоцементних листів</w:t>
            </w:r>
          </w:p>
        </w:tc>
        <w:tc>
          <w:tcPr>
            <w:tcW w:w="1448" w:type="dxa"/>
            <w:gridSpan w:val="3"/>
            <w:tcBorders>
              <w:lef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1140</w:t>
            </w:r>
          </w:p>
        </w:tc>
        <w:tc>
          <w:tcPr>
            <w:tcW w:w="1448" w:type="dxa"/>
            <w:gridSpan w:val="3"/>
            <w:tcBorders>
              <w:left w:val="single" w:sz="4" w:space="0" w:color="000000"/>
              <w:right w:val="single" w:sz="12" w:space="0" w:color="000000"/>
            </w:tcBorders>
          </w:tcPr>
          <w:p>
            <w:pPr>
              <w:pStyle w:val="Normal"/>
              <w:widowControl w:val="false"/>
              <w:tabs>
                <w:tab w:val="clear" w:pos="708"/>
              </w:tabs>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поясків, сандриків, жолобів, відливів, звисів</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тощо з листової сталі</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170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лат [решетування] з дощок з прозорами</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1140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крокв зі стояками та підкосами з дощок</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460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дерев'яних мауерлатів</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460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поясів в опалубці</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Арматура, клас А400-500, діаметр 16 мм</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0,78</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Арматура, клас А400-500, діаметр 12 мм</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0,45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Готування важкого бетону на щебені, клас бетону В15</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10,15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крокв з дощок</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21,94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(150*100)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(150*50)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(100*100)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14</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(200*50)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15</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(100*50)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7,14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16</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Доска (150*30)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5,994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17</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Tytan Деревозахисний засіб 4F 5кг червоний</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(вогнебіозахист)</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22</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лат [решетування] з прозорами із дощок і</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брусків під покрівлю з листової сталі</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1203</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19</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Опорный столик 80x150 1.5мм оцинк</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20</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Гвинт для дерева з шестигранною голівкою, без сверла.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DIN 571. оцинкований 6.0*60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"WKRET-MET“ по дереву фосфатований. 4.2x90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3500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22</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‘WKRET-MET" по дереву фосфатований. 4,2x70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7000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23</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Шайба СМК збільшена, оцинк. М 12x37</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250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24</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Гайка СМК шестигранна, кл міц 6. оцинк М12 (уп.100 шт)</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250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25</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Шпилька СМК різьбова, кл міц 4.8, оциик. М12х1000</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26</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Гвозди 5* 150мм 5кг Метиз</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0,035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27</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Гвозди 4* 120мм 5кг Метиз</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0,14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Гвозди 3,0*70мм 5кг Метиз</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0,01552056</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29</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Нанесення механiзованим способом в один шар</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вогнезахисного покриття з "Firebio impregnation" на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горизонтальнi i вертикальнi поверхнi дерев'яних</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конструкцiй</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1155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з рулонних матеріалів насухо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промазування кромок</w:t>
            </w:r>
          </w:p>
        </w:tc>
        <w:tc>
          <w:tcPr>
            <w:tcW w:w="1448"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1203</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471" w:type="dxa"/>
            <w:gridSpan w:val="7"/>
            <w:tcBorders>
              <w:top w:val="single" w:sz="12"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2</w:t>
            </w:r>
          </w:p>
        </w:tc>
        <w:tc>
          <w:tcPr>
            <w:tcW w:w="1442" w:type="dxa"/>
            <w:gridSpan w:val="3"/>
            <w:tcBorders>
              <w:top w:val="single" w:sz="12" w:space="0" w:color="000000"/>
              <w:left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438" w:type="dxa"/>
            <w:gridSpan w:val="3"/>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4</w:t>
            </w:r>
          </w:p>
        </w:tc>
        <w:tc>
          <w:tcPr>
            <w:tcW w:w="1499" w:type="dxa"/>
            <w:gridSpan w:val="4"/>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5</w:t>
            </w:r>
          </w:p>
        </w:tc>
      </w:tr>
      <w:tr>
        <w:trPr/>
        <w:tc>
          <w:tcPr>
            <w:tcW w:w="574" w:type="dxa"/>
            <w:tcBorders>
              <w:left w:val="single" w:sz="12"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31</w:t>
            </w:r>
          </w:p>
        </w:tc>
        <w:tc>
          <w:tcPr>
            <w:tcW w:w="5471" w:type="dxa"/>
            <w:gridSpan w:val="7"/>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Супердифузионная мембрана 1300 Basic 1,5х50 (75м кв )</w:t>
            </w:r>
          </w:p>
        </w:tc>
        <w:tc>
          <w:tcPr>
            <w:tcW w:w="1442" w:type="dxa"/>
            <w:gridSpan w:val="3"/>
            <w:tcBorders>
              <w:lef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1383,45</w:t>
            </w:r>
          </w:p>
        </w:tc>
        <w:tc>
          <w:tcPr>
            <w:tcW w:w="1499" w:type="dxa"/>
            <w:gridSpan w:val="4"/>
            <w:tcBorders>
              <w:left w:val="single" w:sz="4" w:space="0" w:color="000000"/>
              <w:right w:val="single" w:sz="12" w:space="0" w:color="000000"/>
            </w:tcBorders>
          </w:tcPr>
          <w:p>
            <w:pPr>
              <w:pStyle w:val="Normal"/>
              <w:widowControl w:val="false"/>
              <w:tabs>
                <w:tab w:val="clear" w:pos="708"/>
              </w:tabs>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Скоба для степпера в х 11.3 х 0.7 мм, 1000шт Мю1</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1/20/40</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уп</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Скоба для степлера 8 х11.3 х 0.7 мм. 1000шт. Intertool</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Установлення контррейки</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1,69</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Рейка (50x30)</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1,77</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Монтаж покрівельного покриття з профільованого листа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при висоті будівлі до 25 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1215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Металопрофіль Т-20 А 0.45 мм 3005 поліестер мат 35</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мк Метипол</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1348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до дерева. WFD "Wkret-Met", 4.8x35 RAL 3005</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12000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Установлення бруса для підшивки</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1,09</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Рейка (50x30)</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0,33</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Доска (150*30)</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0,81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Підшивання стальним профільованим листом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Металопрофіль Т- 8 В 0.45 мм 1015 поліестер 25 мк</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Метипол</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138,4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Угол 40/40 внутрений 1015 №100 0.45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з листової сталі поясків, сандриків,</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підвіконних відливів</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Карнизная планка 3005 мат №200 0.45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Карнизная планка нижняя 1015  №250 0.45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Внутрений угол (эндова) 3005 мат №625 0.45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Планка стыка декоративная (эндова внешняя) 3005 мат</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w:t>
            </w:r>
            <w:r>
              <w:rPr>
                <w:rFonts w:cs="Arial" w:ascii="Arial" w:hAnsi="Arial"/>
                <w:spacing w:val="-3"/>
                <w:sz w:val="20"/>
                <w:szCs w:val="20"/>
                <w:lang w:val="uk-UA"/>
              </w:rPr>
              <w:t>250 0 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Планка примикання 3005 мат №250 0 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Конек прямой большой 3005 мат №312 0.45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Торцевая планка фигурная 3005 мат №250 0.45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Снегоупор 3005 мат №312 0.45 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Ущільнювач універсальний Н-60мм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142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Стрічка бутилова BUTYL TAPE (15мм х 25мп)</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рул</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Вентиляційна конькова стрічка ROL VENT 230</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(коричнева) 5м п /рул</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до дерева. WFD "Wkret-Met", 4.8x35 RAL 1015</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3000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Герметик всепогодний (300 мл) прозорий</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з рулонних матеріалів насухо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промазування кромок</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Супердифузионная мембрана 1300 Basic 1,5х50 (75м кв )</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943</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Утеплення покриттів плитами мінераловатними насухо</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Мінераловатний утеплювач - 100мм</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844,6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з рулонних матеріалів насухо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промазування кромок</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Супердифузионная мембрана 1300 Basic 1,5х50 (75м кв )</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943</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Навішування водостічних труб, колін, відливів і лійок 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готових елементів</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Труба водостічна без раструба 4м корич. (130/90) 1/3</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Ринва водостічна 4м корич. (130/90) 1/4</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Воронка ринви корич (130/90) 1/4</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Відвід двораструбний 67 грд. корич. (130/90) 1/6</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Відвід з одним раструбом 67 грд. корич. (130/90) 1/6</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Заглушка наружна універсальна корич.(130/90) 1/20</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Кутник ринви зовнішній 90 грд. корич. (130/90) 1/4</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Кутник ринви внутрішній 90 грд. корич. (130/90) 1/4</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Муфта ринви з вкладкою корич. (130/90) 1/4</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Муфта труби корич (130/90) 1/6</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Хомут ринви поліпропіленовий корич. (130/90) 1/20</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Хомут труби поліпропіленовий корич. (130/90) 1/40</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до дерева. WFD "Wkret-Met", 4.8x35 RAL 8017</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750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Дюбель М 12x200 для водостічної системи wavin (1/25)</w:t>
            </w:r>
          </w:p>
        </w:tc>
        <w:tc>
          <w:tcPr>
            <w:tcW w:w="1442" w:type="dxa"/>
            <w:gridSpan w:val="3"/>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27" w:type="dxa"/>
            <w:gridSpan w:val="3"/>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409" w:type="dxa"/>
            <w:gridSpan w:val="4"/>
            <w:tcBorders>
              <w:top w:val="single" w:sz="12"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2</w:t>
            </w:r>
          </w:p>
        </w:tc>
        <w:tc>
          <w:tcPr>
            <w:tcW w:w="1435" w:type="dxa"/>
            <w:gridSpan w:val="3"/>
            <w:tcBorders>
              <w:top w:val="single" w:sz="12" w:space="0" w:color="000000"/>
              <w:left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378" w:type="dxa"/>
            <w:gridSpan w:val="3"/>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4</w:t>
            </w:r>
          </w:p>
        </w:tc>
        <w:tc>
          <w:tcPr>
            <w:tcW w:w="1498" w:type="dxa"/>
            <w:gridSpan w:val="3"/>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5</w:t>
            </w:r>
          </w:p>
        </w:tc>
        <w:tc>
          <w:tcPr>
            <w:tcW w:w="77"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627" w:type="dxa"/>
            <w:gridSpan w:val="3"/>
            <w:tcBorders>
              <w:left w:val="single" w:sz="12"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80</w:t>
            </w:r>
          </w:p>
        </w:tc>
        <w:tc>
          <w:tcPr>
            <w:tcW w:w="5409" w:type="dxa"/>
            <w:gridSpan w:val="4"/>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Буріння ям глибиною до 2 м бурильно-крановими</w:t>
            </w:r>
          </w:p>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машинами на автомобілі, група ґрунту 2</w:t>
            </w:r>
          </w:p>
        </w:tc>
        <w:tc>
          <w:tcPr>
            <w:tcW w:w="1435" w:type="dxa"/>
            <w:gridSpan w:val="3"/>
            <w:tcBorders>
              <w:lef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ям</w:t>
            </w:r>
          </w:p>
        </w:tc>
        <w:tc>
          <w:tcPr>
            <w:tcW w:w="1378" w:type="dxa"/>
            <w:gridSpan w:val="3"/>
            <w:tcBorders>
              <w:left w:val="single" w:sz="4"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498" w:type="dxa"/>
            <w:gridSpan w:val="3"/>
            <w:tcBorders>
              <w:left w:val="single" w:sz="4" w:space="0" w:color="000000"/>
              <w:right w:val="single" w:sz="12" w:space="0" w:color="000000"/>
            </w:tcBorders>
          </w:tcPr>
          <w:p>
            <w:pPr>
              <w:pStyle w:val="Normal"/>
              <w:widowControl w:val="false"/>
              <w:tabs>
                <w:tab w:val="clear" w:pos="708"/>
              </w:tabs>
              <w:bidi w:val="0"/>
              <w:spacing w:before="0" w:after="0"/>
              <w:ind w:left="0" w:right="0" w:hanging="0"/>
              <w:jc w:val="center"/>
              <w:rPr>
                <w:highlight w:val="yellow"/>
                <w:lang w:val="uk-UA"/>
              </w:rPr>
            </w:pPr>
            <w:r>
              <w:rPr>
                <w:highlight w:val="yellow"/>
                <w:lang w:val="uk-UA"/>
              </w:rPr>
            </w:r>
          </w:p>
        </w:tc>
        <w:tc>
          <w:tcPr>
            <w:tcW w:w="77" w:type="dxa"/>
            <w:gridSpan w:val="2"/>
            <w:tcBorders>
              <w:left w:val="single" w:sz="12" w:space="0" w:color="000000"/>
              <w:bottom w:val="single" w:sz="12" w:space="0" w:color="000000"/>
              <w:right w:val="single" w:sz="4" w:space="0" w:color="000000"/>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81</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Розробка ґрунту вручну в траншеях глибиною до 2 м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кріплень з укосами, група ґрунту 2</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1,13</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Засипання вручну траншей, пазух котлованів та ям,</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група ґрунту 2</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1,13</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83</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(Демонтаж) Монтаж блискавкоприймача</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84</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Монтаж блискавкоприймача</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85</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Труби сталеві безшовні гарячедеформовані із сталі</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марки 15, 20, 25, зовнішній діаметр 25 мм, товщина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стінки 2,5 мм</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86</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Труби сталеві електрозварні прямошовні із сталі марки</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20, зовнішній діаметр 20 мм, товщина стінки 2 мм</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87</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Труби сталеві зварні водогазопровідні з різьбою, чорні</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легкі неоцинковані, діаметр умовного проходу 15 мм,</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товщина стінки 2,5 мм</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88</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Провiдник заземлюючий вiдкрито по будiвельних</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основах з круглої сталi дiаметром 10 мм (видалення</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ресурсу С111-1809)</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190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89</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Сталь кругла діаметром 10мм</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0,16872</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Утримувач коньковий покрівельний AN-11C"</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187,5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91</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універсальний (прут-прут)</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78</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92</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хрестовий (прут-прут)</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69,5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93</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хрестовий (полоса-полоса)</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19</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94</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Утримувач вертикальний з дюбелем (прут-полоса)</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107,5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95</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Утримувач горізонтальний ( анкер кріплення )</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81,5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96</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контрольний</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97</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Заземлювач горизонтальний у траншеї зі сталі штабової,</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переріз 160 мм2</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98</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асфальтобетонних покриттів вручну</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99</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чорних щебеневих покриттів та основ</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100</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підстильних та вирівнювальних шарів</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основи із щебеню шлакового</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101</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товщиною 4 см з гарячих</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асфальтобетонних сумішей вручну з ущільненням</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самохідними котками</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102</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 кожні 0,5 см зміни товщини шару додавати або</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виключати до норми 18-42-5</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103</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Навантаження сміття вручну</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49</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104</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Перевезення сміття до 10 км</w:t>
            </w:r>
          </w:p>
        </w:tc>
        <w:tc>
          <w:tcPr>
            <w:tcW w:w="1472"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362" w:type="dxa"/>
            <w:gridSpan w:val="2"/>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49</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highlight w:val="yellow"/>
                <w:lang w:val="uk-UA"/>
              </w:rPr>
            </w:r>
          </w:p>
        </w:tc>
      </w:tr>
    </w:tbl>
    <w:p>
      <w:pPr>
        <w:pStyle w:val="Normal"/>
        <w:bidi w:val="0"/>
        <w:spacing w:before="0" w:after="0"/>
        <w:ind w:left="0" w:right="0" w:hanging="0"/>
        <w:rPr>
          <w:highlight w:val="yellow"/>
          <w:lang w:val="uk-UA"/>
        </w:rPr>
      </w:pPr>
      <w:r>
        <w:rPr>
          <w:highlight w:val="yellow"/>
          <w:lang w:val="uk-UA"/>
        </w:rPr>
      </w:r>
    </w:p>
    <w:p>
      <w:pPr>
        <w:pStyle w:val="Normal"/>
        <w:shd w:val="clear" w:color="auto" w:fill="FFFFFF"/>
        <w:spacing w:before="0" w:after="0"/>
        <w:rPr/>
      </w:pPr>
      <w:r>
        <w:rPr>
          <w:rFonts w:eastAsia="Times New Roman"/>
          <w:b/>
          <w:bCs/>
          <w:color w:val="000000"/>
          <w:lang w:val="uk-UA"/>
        </w:rPr>
        <w:t xml:space="preserve">Інша інформація встановлена відповідно до законодавства </w:t>
      </w:r>
    </w:p>
    <w:p>
      <w:pPr>
        <w:pStyle w:val="Normal"/>
        <w:shd w:val="clear" w:color="auto" w:fill="FFFFFF"/>
        <w:spacing w:before="0" w:after="0"/>
        <w:rPr>
          <w:rFonts w:eastAsia="Times New Roman"/>
          <w:b/>
          <w:b/>
          <w:bCs/>
          <w:color w:val="000000"/>
          <w:lang w:val="uk-UA"/>
        </w:rPr>
      </w:pPr>
      <w:r>
        <w:rPr>
          <w:rFonts w:eastAsia="Times New Roman"/>
          <w:b/>
          <w:bCs/>
          <w:color w:val="000000"/>
          <w:lang w:val="uk-UA"/>
        </w:rPr>
        <w:t>(для УЧАСНИКІВ - юридичних осіб, фізичних осіб та фізичних осіб-підприємців).</w:t>
      </w:r>
    </w:p>
    <w:tbl>
      <w:tblPr>
        <w:tblW w:w="10065" w:type="dxa"/>
        <w:jc w:val="left"/>
        <w:tblInd w:w="-42" w:type="dxa"/>
        <w:tblLayout w:type="fixed"/>
        <w:tblCellMar>
          <w:top w:w="0" w:type="dxa"/>
          <w:left w:w="108" w:type="dxa"/>
          <w:bottom w:w="0" w:type="dxa"/>
          <w:right w:w="108" w:type="dxa"/>
        </w:tblCellMar>
        <w:tblLook w:firstRow="0" w:noVBand="1" w:lastRow="0" w:firstColumn="0" w:lastColumn="0" w:noHBand="0" w:val="0400"/>
      </w:tblPr>
      <w:tblGrid>
        <w:gridCol w:w="42"/>
        <w:gridCol w:w="416"/>
        <w:gridCol w:w="9607"/>
      </w:tblGrid>
      <w:tr>
        <w:trPr>
          <w:trHeight w:val="124" w:hRule="atLeast"/>
        </w:trPr>
        <w:tc>
          <w:tcPr>
            <w:tcW w:w="42" w:type="dxa"/>
            <w:tcBorders/>
          </w:tcPr>
          <w:p>
            <w:pPr>
              <w:pStyle w:val="22"/>
              <w:widowControl w:val="false"/>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10023" w:type="dxa"/>
            <w:gridSpan w:val="2"/>
            <w:tcBorders>
              <w:top w:val="single" w:sz="8" w:space="0" w:color="000000"/>
              <w:left w:val="single" w:sz="8" w:space="0" w:color="000000"/>
              <w:bottom w:val="single" w:sz="8" w:space="0" w:color="000000"/>
              <w:right w:val="single" w:sz="8" w:space="0" w:color="000000"/>
            </w:tcBorders>
            <w:shd w:color="auto" w:fill="CCCCCC" w:val="clear"/>
            <w:tcMar>
              <w:top w:w="100" w:type="dxa"/>
              <w:left w:w="100" w:type="dxa"/>
              <w:bottom w:w="100" w:type="dxa"/>
              <w:right w:w="100" w:type="dxa"/>
            </w:tcMar>
          </w:tcPr>
          <w:p>
            <w:pPr>
              <w:pStyle w:val="22"/>
              <w:widowControl w:val="false"/>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731"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10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Pr>
                <w:rFonts w:eastAsia="Times New Roman" w:cs="Times New Roman" w:ascii="Times New Roman" w:hAnsi="Times New Roman"/>
                <w:b/>
                <w:color w:val="000000"/>
                <w:sz w:val="24"/>
                <w:szCs w:val="24"/>
              </w:rPr>
              <w:t>у вигляді листа-гарантії</w:t>
            </w:r>
            <w:r>
              <w:rPr>
                <w:rFonts w:eastAsia="Times New Roman" w:cs="Times New Roman" w:ascii="Times New Roman" w:hAnsi="Times New Roman"/>
                <w:color w:val="000000"/>
                <w:sz w:val="24"/>
                <w:szCs w:val="24"/>
              </w:rPr>
              <w:t xml:space="preserve"> наступного змісту: </w:t>
            </w:r>
            <w:r>
              <w:rPr>
                <w:rFonts w:eastAsia="Times New Roman" w:cs="Times New Roman" w:ascii="Times New Roman" w:hAnsi="Times New Roman"/>
                <w:b/>
                <w:color w:val="000000"/>
                <w:sz w:val="24"/>
                <w:szCs w:val="24"/>
              </w:rPr>
              <w:t xml:space="preserve">«Ми, </w:t>
            </w:r>
            <w:r>
              <w:rPr>
                <w:rFonts w:eastAsia="Times New Roman" w:cs="Times New Roman" w:ascii="Times New Roman" w:hAnsi="Times New Roman"/>
                <w:b/>
                <w:color w:val="000000"/>
                <w:sz w:val="24"/>
                <w:szCs w:val="24"/>
                <w:u w:val="single"/>
              </w:rPr>
              <w:t>зазначити найменування Учасника</w:t>
            </w:r>
            <w:r>
              <w:rPr>
                <w:rFonts w:eastAsia="Times New Roman" w:cs="Times New Roman" w:ascii="Times New Roman" w:hAnsi="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Pr>
                <w:rFonts w:eastAsia="Times New Roman" w:cs="Times New Roman" w:ascii="Times New Roman" w:hAnsi="Times New Roman"/>
                <w:b/>
                <w:sz w:val="24"/>
                <w:szCs w:val="24"/>
              </w:rPr>
              <w:t>, в т.ч. додатках до неї, а також підтверджуємо можливість виконання робіт, у відповідності до вимог, визначених згідно з умовами документації ».</w:t>
            </w:r>
          </w:p>
        </w:tc>
      </w:tr>
      <w:tr>
        <w:trPr>
          <w:trHeight w:val="1900"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22"/>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22"/>
              <w:widowControl w:val="false"/>
              <w:spacing w:lineRule="auto" w:line="240" w:before="0" w:after="0"/>
              <w:ind w:left="10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154"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34" w:hanging="21"/>
              <w:jc w:val="both"/>
              <w:rPr>
                <w:rFonts w:ascii="Times New Roman" w:hAnsi="Times New Roman" w:eastAsia="Times New Roman" w:cs="Times New Roman"/>
                <w:color w:val="000000"/>
                <w:sz w:val="24"/>
                <w:szCs w:val="24"/>
              </w:rPr>
            </w:pPr>
            <w:r>
              <w:rPr>
                <w:rFonts w:eastAsia="Times New Roman" w:ascii="Times New Roman" w:hAnsi="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trPr>
          <w:trHeight w:val="763"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Копія свідоцтва про реєстрацію платника ПДВ,  або копія витягу з реєстру платників ПДВ, копія свідоцтва про сплату єдиного податку, або копія витягу  з реєстру платників єдиного податку</w:t>
            </w:r>
          </w:p>
        </w:tc>
      </w:tr>
      <w:tr>
        <w:trPr>
          <w:trHeight w:val="763" w:hRule="atLeast"/>
        </w:trPr>
        <w:tc>
          <w:tcPr>
            <w:tcW w:w="4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160"/>
              <w:ind w:left="100" w:hanging="0"/>
              <w:rPr>
                <w:rFonts w:ascii="Times New Roman" w:hAnsi="Times New Roman" w:eastAsia="Times New Roman" w:cs="Times New Roman"/>
                <w:b/>
                <w:b/>
                <w:color w:val="000000"/>
                <w:sz w:val="24"/>
                <w:szCs w:val="24"/>
                <w:lang w:val="ru-RU"/>
              </w:rPr>
            </w:pPr>
            <w:r>
              <w:rPr>
                <w:rFonts w:eastAsia="Times New Roman" w:cs="Times New Roman" w:ascii="Times New Roman" w:hAnsi="Times New Roman"/>
                <w:b/>
                <w:color w:val="000000"/>
                <w:sz w:val="24"/>
                <w:szCs w:val="24"/>
                <w:lang w:val="ru-RU"/>
              </w:rPr>
              <w:t>5</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22"/>
              <w:widowControl w:val="false"/>
              <w:spacing w:lineRule="auto" w:line="240" w:before="0" w:after="16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pPr>
        <w:pStyle w:val="Normal"/>
        <w:shd w:val="clear" w:color="auto" w:fill="FFFFFF"/>
        <w:suppressAutoHyphens w:val="true"/>
        <w:spacing w:before="0" w:after="120"/>
        <w:jc w:val="both"/>
        <w:rPr/>
      </w:pPr>
      <w:r>
        <w:rPr/>
      </w:r>
    </w:p>
    <w:p>
      <w:pPr>
        <w:pStyle w:val="Normal"/>
        <w:shd w:val="clear" w:color="auto" w:fill="FFFFFF"/>
        <w:suppressAutoHyphens w:val="true"/>
        <w:spacing w:before="0" w:after="120"/>
        <w:jc w:val="both"/>
        <w:rPr/>
      </w:pPr>
      <w:r>
        <w:rPr/>
      </w:r>
    </w:p>
    <w:p>
      <w:pPr>
        <w:pStyle w:val="Normal"/>
        <w:shd w:val="clear" w:color="auto" w:fill="FFFFFF"/>
        <w:suppressAutoHyphens w:val="true"/>
        <w:spacing w:before="0" w:after="120"/>
        <w:jc w:val="both"/>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decimal"/>
      <w:lvlText w:val="%1.%2.%3.%4"/>
      <w:lvlJc w:val="left"/>
      <w:pPr>
        <w:tabs>
          <w:tab w:val="num" w:pos="864"/>
        </w:tabs>
        <w:ind w:left="864" w:hanging="864"/>
      </w:pPr>
    </w:lvl>
    <w:lvl w:ilvl="4">
      <w:start w:val="1"/>
      <w:pStyle w:val="5"/>
      <w:numFmt w:val="decimal"/>
      <w:lvlText w:val="%1.%2.%3.%4.%5"/>
      <w:lvlJc w:val="left"/>
      <w:pPr>
        <w:tabs>
          <w:tab w:val="num" w:pos="1008"/>
        </w:tabs>
        <w:ind w:left="1008" w:hanging="1008"/>
      </w:pPr>
    </w:lvl>
    <w:lvl w:ilvl="5">
      <w:start w:val="1"/>
      <w:pStyle w:val="6"/>
      <w:numFmt w:val="decimal"/>
      <w:lvlText w:val="%1.%2.%3.%4.%5.%6"/>
      <w:lvlJc w:val="left"/>
      <w:pPr>
        <w:tabs>
          <w:tab w:val="num" w:pos="1152"/>
        </w:tabs>
        <w:ind w:left="1152" w:hanging="1152"/>
      </w:pPr>
    </w:lvl>
    <w:lvl w:ilvl="6">
      <w:start w:val="1"/>
      <w:pStyle w:val="7"/>
      <w:numFmt w:val="decimal"/>
      <w:lvlText w:val="%1.%2.%3.%4.%5.%6.%7"/>
      <w:lvlJc w:val="left"/>
      <w:pPr>
        <w:tabs>
          <w:tab w:val="num" w:pos="1296"/>
        </w:tabs>
        <w:ind w:left="1296" w:hanging="1296"/>
      </w:pPr>
    </w:lvl>
    <w:lvl w:ilvl="7">
      <w:start w:val="1"/>
      <w:pStyle w:val="8"/>
      <w:numFmt w:val="decimal"/>
      <w:lvlText w:val="%1.%2.%3.%4.%5.%6.%7.%8"/>
      <w:lvlJc w:val="left"/>
      <w:pPr>
        <w:tabs>
          <w:tab w:val="num" w:pos="1440"/>
        </w:tabs>
        <w:ind w:left="1440" w:hanging="1440"/>
      </w:pPr>
    </w:lvl>
    <w:lvl w:ilvl="8">
      <w:start w:val="1"/>
      <w:pStyle w:val="9"/>
      <w:numFmt w:val="decimal"/>
      <w:lvlText w:val="%1.%2.%3.%4.%5.%6.%7.%8.%9"/>
      <w:lvlJc w:val="left"/>
      <w:pPr>
        <w:tabs>
          <w:tab w:val="num" w:pos="1584"/>
        </w:tabs>
        <w:ind w:left="1584" w:hanging="1584"/>
      </w:pPr>
    </w:lvl>
  </w:abstractNum>
  <w:abstractNum w:abstractNumId="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3433"/>
    <w:pPr>
      <w:widowControl/>
      <w:suppressAutoHyphens w:val="true"/>
      <w:bidi w:val="0"/>
      <w:spacing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link w:val="10"/>
    <w:qFormat/>
    <w:rsid w:val="007c60a2"/>
    <w:pPr>
      <w:keepNext w:val="true"/>
      <w:tabs>
        <w:tab w:val="clear" w:pos="708"/>
        <w:tab w:val="left" w:pos="8306" w:leader="none"/>
      </w:tabs>
      <w:ind w:left="150" w:hanging="0"/>
      <w:outlineLvl w:val="0"/>
    </w:pPr>
    <w:rPr>
      <w:rFonts w:eastAsia="Times New Roman"/>
      <w:b/>
      <w:sz w:val="20"/>
      <w:szCs w:val="20"/>
    </w:rPr>
  </w:style>
  <w:style w:type="paragraph" w:styleId="2">
    <w:name w:val="Heading 2"/>
    <w:basedOn w:val="Normal"/>
    <w:next w:val="Normal"/>
    <w:link w:val="20"/>
    <w:qFormat/>
    <w:rsid w:val="007c60a2"/>
    <w:pPr>
      <w:keepNext w:val="true"/>
      <w:tabs>
        <w:tab w:val="clear" w:pos="708"/>
        <w:tab w:val="left" w:pos="8306" w:leader="none"/>
      </w:tabs>
      <w:ind w:left="6804" w:hanging="0"/>
      <w:outlineLvl w:val="1"/>
    </w:pPr>
    <w:rPr>
      <w:rFonts w:eastAsia="Times New Roman"/>
      <w:i/>
      <w:sz w:val="20"/>
      <w:szCs w:val="20"/>
    </w:rPr>
  </w:style>
  <w:style w:type="paragraph" w:styleId="3">
    <w:name w:val="Heading 3"/>
    <w:basedOn w:val="Normal"/>
    <w:next w:val="Normal"/>
    <w:link w:val="30"/>
    <w:qFormat/>
    <w:rsid w:val="007c60a2"/>
    <w:pPr>
      <w:keepNext w:val="true"/>
      <w:tabs>
        <w:tab w:val="clear" w:pos="708"/>
        <w:tab w:val="left" w:pos="8306" w:leader="none"/>
      </w:tabs>
      <w:jc w:val="center"/>
      <w:outlineLvl w:val="2"/>
    </w:pPr>
    <w:rPr>
      <w:rFonts w:eastAsia="Times New Roman"/>
      <w:b/>
      <w:sz w:val="20"/>
      <w:szCs w:val="20"/>
    </w:rPr>
  </w:style>
  <w:style w:type="paragraph" w:styleId="4">
    <w:name w:val="Heading 4"/>
    <w:basedOn w:val="Normal"/>
    <w:next w:val="Normal"/>
    <w:link w:val="40"/>
    <w:qFormat/>
    <w:rsid w:val="007c60a2"/>
    <w:pPr>
      <w:keepNext w:val="true"/>
      <w:numPr>
        <w:ilvl w:val="3"/>
        <w:numId w:val="1"/>
      </w:numPr>
      <w:spacing w:before="240" w:after="60"/>
      <w:outlineLvl w:val="3"/>
    </w:pPr>
    <w:rPr>
      <w:rFonts w:ascii="Arial" w:hAnsi="Arial" w:eastAsia="Times New Roman"/>
      <w:b/>
      <w:szCs w:val="20"/>
    </w:rPr>
  </w:style>
  <w:style w:type="paragraph" w:styleId="5">
    <w:name w:val="Heading 5"/>
    <w:basedOn w:val="Normal"/>
    <w:next w:val="Normal"/>
    <w:link w:val="50"/>
    <w:qFormat/>
    <w:rsid w:val="007c60a2"/>
    <w:pPr>
      <w:numPr>
        <w:ilvl w:val="4"/>
        <w:numId w:val="1"/>
      </w:numPr>
      <w:spacing w:before="240" w:after="60"/>
      <w:outlineLvl w:val="4"/>
    </w:pPr>
    <w:rPr>
      <w:rFonts w:eastAsia="Times New Roman"/>
      <w:sz w:val="22"/>
      <w:szCs w:val="20"/>
    </w:rPr>
  </w:style>
  <w:style w:type="paragraph" w:styleId="6">
    <w:name w:val="Heading 6"/>
    <w:basedOn w:val="Normal"/>
    <w:next w:val="Normal"/>
    <w:link w:val="60"/>
    <w:qFormat/>
    <w:rsid w:val="007c60a2"/>
    <w:pPr>
      <w:numPr>
        <w:ilvl w:val="5"/>
        <w:numId w:val="1"/>
      </w:numPr>
      <w:spacing w:before="240" w:after="60"/>
      <w:outlineLvl w:val="5"/>
    </w:pPr>
    <w:rPr>
      <w:rFonts w:eastAsia="Times New Roman"/>
      <w:i/>
      <w:sz w:val="22"/>
      <w:szCs w:val="20"/>
    </w:rPr>
  </w:style>
  <w:style w:type="paragraph" w:styleId="7">
    <w:name w:val="Heading 7"/>
    <w:basedOn w:val="Normal"/>
    <w:next w:val="Normal"/>
    <w:link w:val="70"/>
    <w:qFormat/>
    <w:rsid w:val="007c60a2"/>
    <w:pPr>
      <w:numPr>
        <w:ilvl w:val="6"/>
        <w:numId w:val="1"/>
      </w:numPr>
      <w:spacing w:before="240" w:after="60"/>
      <w:outlineLvl w:val="6"/>
    </w:pPr>
    <w:rPr>
      <w:rFonts w:ascii="Arial" w:hAnsi="Arial" w:eastAsia="Times New Roman"/>
      <w:sz w:val="20"/>
      <w:szCs w:val="20"/>
    </w:rPr>
  </w:style>
  <w:style w:type="paragraph" w:styleId="8">
    <w:name w:val="Heading 8"/>
    <w:basedOn w:val="Normal"/>
    <w:next w:val="Normal"/>
    <w:link w:val="80"/>
    <w:qFormat/>
    <w:rsid w:val="007c60a2"/>
    <w:pPr>
      <w:numPr>
        <w:ilvl w:val="7"/>
        <w:numId w:val="1"/>
      </w:numPr>
      <w:spacing w:before="240" w:after="60"/>
      <w:outlineLvl w:val="7"/>
    </w:pPr>
    <w:rPr>
      <w:rFonts w:ascii="Arial" w:hAnsi="Arial" w:eastAsia="Times New Roman"/>
      <w:i/>
      <w:sz w:val="20"/>
      <w:szCs w:val="20"/>
    </w:rPr>
  </w:style>
  <w:style w:type="paragraph" w:styleId="9">
    <w:name w:val="Heading 9"/>
    <w:basedOn w:val="Normal"/>
    <w:next w:val="Normal"/>
    <w:link w:val="90"/>
    <w:qFormat/>
    <w:rsid w:val="007c60a2"/>
    <w:pPr>
      <w:numPr>
        <w:ilvl w:val="8"/>
        <w:numId w:val="1"/>
      </w:numPr>
      <w:spacing w:before="240" w:after="60"/>
      <w:outlineLvl w:val="8"/>
    </w:pPr>
    <w:rPr>
      <w:rFonts w:ascii="Arial" w:hAnsi="Arial" w:eastAsia="Times New Roman"/>
      <w:b/>
      <w:i/>
      <w:sz w:val="1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c60a2"/>
    <w:rPr>
      <w:b/>
      <w:lang w:val="ru-RU" w:eastAsia="ru-RU"/>
    </w:rPr>
  </w:style>
  <w:style w:type="character" w:styleId="21" w:customStyle="1">
    <w:name w:val="Заголовок 2 Знак"/>
    <w:basedOn w:val="DefaultParagraphFont"/>
    <w:link w:val="2"/>
    <w:qFormat/>
    <w:rsid w:val="007c60a2"/>
    <w:rPr>
      <w:i/>
      <w:lang w:val="ru-RU" w:eastAsia="ru-RU"/>
    </w:rPr>
  </w:style>
  <w:style w:type="character" w:styleId="31" w:customStyle="1">
    <w:name w:val="Заголовок 3 Знак"/>
    <w:basedOn w:val="DefaultParagraphFont"/>
    <w:link w:val="3"/>
    <w:qFormat/>
    <w:rsid w:val="007c60a2"/>
    <w:rPr>
      <w:b/>
      <w:lang w:val="ru-RU" w:eastAsia="ru-RU"/>
    </w:rPr>
  </w:style>
  <w:style w:type="character" w:styleId="41" w:customStyle="1">
    <w:name w:val="Заголовок 4 Знак"/>
    <w:basedOn w:val="DefaultParagraphFont"/>
    <w:link w:val="4"/>
    <w:qFormat/>
    <w:rsid w:val="007c60a2"/>
    <w:rPr>
      <w:rFonts w:ascii="Arial" w:hAnsi="Arial"/>
      <w:b/>
      <w:sz w:val="24"/>
      <w:lang w:val="ru-RU" w:eastAsia="ru-RU"/>
    </w:rPr>
  </w:style>
  <w:style w:type="character" w:styleId="51" w:customStyle="1">
    <w:name w:val="Заголовок 5 Знак"/>
    <w:basedOn w:val="DefaultParagraphFont"/>
    <w:link w:val="5"/>
    <w:qFormat/>
    <w:rsid w:val="007c60a2"/>
    <w:rPr>
      <w:sz w:val="22"/>
      <w:lang w:val="ru-RU" w:eastAsia="ru-RU"/>
    </w:rPr>
  </w:style>
  <w:style w:type="character" w:styleId="61" w:customStyle="1">
    <w:name w:val="Заголовок 6 Знак"/>
    <w:basedOn w:val="DefaultParagraphFont"/>
    <w:link w:val="6"/>
    <w:qFormat/>
    <w:rsid w:val="007c60a2"/>
    <w:rPr>
      <w:i/>
      <w:sz w:val="22"/>
      <w:lang w:val="ru-RU" w:eastAsia="ru-RU"/>
    </w:rPr>
  </w:style>
  <w:style w:type="character" w:styleId="71" w:customStyle="1">
    <w:name w:val="Заголовок 7 Знак"/>
    <w:basedOn w:val="DefaultParagraphFont"/>
    <w:link w:val="7"/>
    <w:qFormat/>
    <w:rsid w:val="007c60a2"/>
    <w:rPr>
      <w:rFonts w:ascii="Arial" w:hAnsi="Arial"/>
      <w:lang w:val="ru-RU" w:eastAsia="ru-RU"/>
    </w:rPr>
  </w:style>
  <w:style w:type="character" w:styleId="81" w:customStyle="1">
    <w:name w:val="Заголовок 8 Знак"/>
    <w:basedOn w:val="DefaultParagraphFont"/>
    <w:link w:val="8"/>
    <w:qFormat/>
    <w:rsid w:val="007c60a2"/>
    <w:rPr>
      <w:rFonts w:ascii="Arial" w:hAnsi="Arial"/>
      <w:i/>
      <w:lang w:val="ru-RU" w:eastAsia="ru-RU"/>
    </w:rPr>
  </w:style>
  <w:style w:type="character" w:styleId="91" w:customStyle="1">
    <w:name w:val="Заголовок 9 Знак"/>
    <w:basedOn w:val="DefaultParagraphFont"/>
    <w:link w:val="9"/>
    <w:qFormat/>
    <w:rsid w:val="007c60a2"/>
    <w:rPr>
      <w:rFonts w:ascii="Arial" w:hAnsi="Arial"/>
      <w:b/>
      <w:i/>
      <w:sz w:val="18"/>
      <w:lang w:val="ru-RU" w:eastAsia="ru-RU"/>
    </w:rPr>
  </w:style>
  <w:style w:type="character" w:styleId="Style5" w:customStyle="1">
    <w:name w:val="Обычный (веб) Знак"/>
    <w:link w:val="a3"/>
    <w:uiPriority w:val="99"/>
    <w:qFormat/>
    <w:locked/>
    <w:rsid w:val="000d47af"/>
    <w:rPr>
      <w:sz w:val="24"/>
      <w:szCs w:val="24"/>
      <w:lang w:eastAsia="ru-RU"/>
    </w:rPr>
  </w:style>
  <w:style w:type="character" w:styleId="Style6" w:customStyle="1">
    <w:name w:val="Без интервала Знак"/>
    <w:link w:val="a5"/>
    <w:uiPriority w:val="1"/>
    <w:qFormat/>
    <w:rsid w:val="00f17a82"/>
    <w:rPr>
      <w:rFonts w:ascii="Times New Roman CYR" w:hAnsi="Times New Roman CYR" w:cs="Times New Roman CYR"/>
      <w:sz w:val="24"/>
      <w:szCs w:val="24"/>
      <w:lang w:val="ru-RU" w:eastAsia="ru-RU"/>
    </w:rPr>
  </w:style>
  <w:style w:type="character" w:styleId="Style7" w:customStyle="1">
    <w:name w:val="Абзац списка Знак"/>
    <w:link w:val="a7"/>
    <w:uiPriority w:val="34"/>
    <w:qFormat/>
    <w:locked/>
    <w:rsid w:val="00e75a5b"/>
    <w:rPr>
      <w:rFonts w:ascii="Calibri" w:hAnsi="Calibri"/>
      <w:sz w:val="22"/>
      <w:szCs w:val="22"/>
      <w:lang w:val="ru-RU" w:eastAsia="ru-RU"/>
    </w:rPr>
  </w:style>
  <w:style w:type="character" w:styleId="Style8" w:customStyle="1">
    <w:name w:val="Верхний колонтитул Знак"/>
    <w:basedOn w:val="DefaultParagraphFont"/>
    <w:link w:val="a9"/>
    <w:uiPriority w:val="99"/>
    <w:qFormat/>
    <w:rsid w:val="00031422"/>
    <w:rPr>
      <w:rFonts w:eastAsia="Arial"/>
      <w:sz w:val="24"/>
      <w:szCs w:val="24"/>
      <w:lang w:val="ru-RU" w:eastAsia="ru-RU"/>
    </w:rPr>
  </w:style>
  <w:style w:type="character" w:styleId="Style9" w:customStyle="1">
    <w:name w:val="Нижний колонтитул Знак"/>
    <w:basedOn w:val="DefaultParagraphFont"/>
    <w:link w:val="ab"/>
    <w:uiPriority w:val="99"/>
    <w:qFormat/>
    <w:rsid w:val="00031422"/>
    <w:rPr>
      <w:rFonts w:eastAsia="Arial"/>
      <w:sz w:val="24"/>
      <w:szCs w:val="24"/>
      <w:lang w:val="ru-RU" w:eastAsia="ru-RU"/>
    </w:rPr>
  </w:style>
  <w:style w:type="character" w:styleId="12">
    <w:name w:val="Основной текст1"/>
    <w:qFormat/>
    <w:rPr>
      <w:rFonts w:ascii="Times New Roman" w:hAnsi="Times New Roman" w:eastAsia="Times New Roman"/>
      <w:color w:val="000000"/>
      <w:spacing w:val="0"/>
      <w:w w:val="100"/>
      <w:sz w:val="22"/>
      <w:szCs w:val="22"/>
      <w:shd w:fill="FFFFFF" w:val="clear"/>
      <w:lang w:val="uk-UA"/>
    </w:rPr>
  </w:style>
  <w:style w:type="paragraph" w:styleId="Style10">
    <w:name w:val="Заголовок"/>
    <w:basedOn w:val="Normal"/>
    <w:next w:val="Style11"/>
    <w:qFormat/>
    <w:pPr>
      <w:keepNext w:val="true"/>
      <w:spacing w:before="240" w:after="120"/>
    </w:pPr>
    <w:rPr>
      <w:rFonts w:ascii="Liberation Sans" w:hAnsi="Liberation Sans" w:eastAsia="Microsoft YaHei" w:cs="Arial Unicode M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Unicode MS"/>
    </w:rPr>
  </w:style>
  <w:style w:type="paragraph" w:styleId="Style13">
    <w:name w:val="Caption"/>
    <w:basedOn w:val="Normal"/>
    <w:qFormat/>
    <w:pPr>
      <w:suppressLineNumbers/>
      <w:spacing w:before="120" w:after="120"/>
    </w:pPr>
    <w:rPr>
      <w:rFonts w:cs="Arial Unicode MS"/>
      <w:i/>
      <w:iCs/>
      <w:sz w:val="24"/>
      <w:szCs w:val="24"/>
    </w:rPr>
  </w:style>
  <w:style w:type="paragraph" w:styleId="Style14">
    <w:name w:val="Покажчик"/>
    <w:basedOn w:val="Normal"/>
    <w:qFormat/>
    <w:pPr>
      <w:suppressLineNumbers/>
    </w:pPr>
    <w:rPr>
      <w:rFonts w:cs="Arial Unicode MS"/>
    </w:rPr>
  </w:style>
  <w:style w:type="paragraph" w:styleId="TableParagraph" w:customStyle="1">
    <w:name w:val="Table Paragraph"/>
    <w:basedOn w:val="Normal"/>
    <w:uiPriority w:val="1"/>
    <w:qFormat/>
    <w:rsid w:val="000f3433"/>
    <w:pPr>
      <w:widowControl w:val="false"/>
      <w:spacing w:before="88" w:after="0"/>
      <w:ind w:left="100" w:hanging="0"/>
      <w:jc w:val="both"/>
    </w:pPr>
    <w:rPr>
      <w:rFonts w:eastAsia="Times New Roman"/>
      <w:sz w:val="22"/>
      <w:szCs w:val="22"/>
      <w:lang w:val="uk-UA" w:eastAsia="en-US"/>
    </w:rPr>
  </w:style>
  <w:style w:type="paragraph" w:styleId="NormalWeb">
    <w:name w:val="Normal (Web)"/>
    <w:basedOn w:val="Normal"/>
    <w:link w:val="a4"/>
    <w:uiPriority w:val="99"/>
    <w:unhideWhenUsed/>
    <w:qFormat/>
    <w:rsid w:val="000d47af"/>
    <w:pPr>
      <w:spacing w:beforeAutospacing="1" w:afterAutospacing="1"/>
    </w:pPr>
    <w:rPr>
      <w:rFonts w:eastAsia="Times New Roman"/>
      <w:lang w:val="uk-UA"/>
    </w:rPr>
  </w:style>
  <w:style w:type="paragraph" w:styleId="Docdata" w:customStyle="1">
    <w:name w:val="docdata"/>
    <w:basedOn w:val="Normal"/>
    <w:qFormat/>
    <w:rsid w:val="000d47af"/>
    <w:pPr>
      <w:spacing w:beforeAutospacing="1" w:afterAutospacing="1"/>
    </w:pPr>
    <w:rPr>
      <w:rFonts w:eastAsia="Times New Roman"/>
    </w:rPr>
  </w:style>
  <w:style w:type="paragraph" w:styleId="NoSpacing">
    <w:name w:val="No Spacing"/>
    <w:link w:val="a6"/>
    <w:uiPriority w:val="1"/>
    <w:qFormat/>
    <w:rsid w:val="00f17a82"/>
    <w:pPr>
      <w:widowControl w:val="false"/>
      <w:suppressAutoHyphens w:val="true"/>
      <w:bidi w:val="0"/>
      <w:spacing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ListParagraph">
    <w:name w:val="List Paragraph"/>
    <w:basedOn w:val="Normal"/>
    <w:link w:val="a8"/>
    <w:uiPriority w:val="34"/>
    <w:qFormat/>
    <w:rsid w:val="00f17a82"/>
    <w:pPr>
      <w:spacing w:lineRule="auto" w:line="276" w:before="0" w:after="200"/>
      <w:ind w:left="720" w:hanging="0"/>
      <w:contextualSpacing/>
    </w:pPr>
    <w:rPr>
      <w:rFonts w:ascii="Calibri" w:hAnsi="Calibri" w:eastAsia="Times New Roman"/>
      <w:sz w:val="22"/>
      <w:szCs w:val="22"/>
    </w:rPr>
  </w:style>
  <w:style w:type="paragraph" w:styleId="Style15">
    <w:name w:val="Верхній і нижній колонтитули"/>
    <w:basedOn w:val="Normal"/>
    <w:qFormat/>
    <w:pPr/>
    <w:rPr/>
  </w:style>
  <w:style w:type="paragraph" w:styleId="Style16">
    <w:name w:val="Header"/>
    <w:basedOn w:val="Normal"/>
    <w:link w:val="aa"/>
    <w:uiPriority w:val="99"/>
    <w:unhideWhenUsed/>
    <w:rsid w:val="00031422"/>
    <w:pPr>
      <w:tabs>
        <w:tab w:val="clear" w:pos="708"/>
        <w:tab w:val="center" w:pos="4677" w:leader="none"/>
        <w:tab w:val="right" w:pos="9355" w:leader="none"/>
      </w:tabs>
    </w:pPr>
    <w:rPr/>
  </w:style>
  <w:style w:type="paragraph" w:styleId="Style17">
    <w:name w:val="Footer"/>
    <w:basedOn w:val="Normal"/>
    <w:link w:val="ac"/>
    <w:uiPriority w:val="99"/>
    <w:unhideWhenUsed/>
    <w:rsid w:val="00031422"/>
    <w:pPr>
      <w:tabs>
        <w:tab w:val="clear" w:pos="708"/>
        <w:tab w:val="center" w:pos="4677" w:leader="none"/>
        <w:tab w:val="right" w:pos="9355" w:leader="none"/>
      </w:tabs>
    </w:pPr>
    <w:rPr/>
  </w:style>
  <w:style w:type="paragraph" w:styleId="22" w:customStyle="1">
    <w:name w:val="Обычный2"/>
    <w:qFormat/>
    <w:rsid w:val="00316a42"/>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Times New Roman" w:cs="Calibri"/>
      <w:color w:val="auto"/>
      <w:kern w:val="0"/>
      <w:sz w:val="22"/>
      <w:szCs w:val="22"/>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Application>LibreOffice/7.0.1.2$Windows_X86_64 LibreOffice_project/7cbcfc562f6eb6708b5ff7d7397325de9e764452</Application>
  <Pages>10</Pages>
  <Words>3560</Words>
  <Characters>22504</Characters>
  <CharactersWithSpaces>25529</CharactersWithSpaces>
  <Paragraphs>589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2022-10-27T14:45:00Z</dcterms:created>
  <dc:creator>ID10480069</dc:creator>
  <dc:description/>
  <dc:language>uk-UA</dc:language>
  <cp:lastModifiedBy/>
  <cp:lastPrinted>2022-11-10T06:08:00Z</cp:lastPrinted>
  <dcterms:modified xsi:type="dcterms:W3CDTF">2022-11-28T08:58:14Z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