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Pr="00661288" w:rsidRDefault="00804E5F">
            <w:pPr>
              <w:pStyle w:val="--140"/>
              <w:ind w:left="5217" w:right="-13"/>
              <w:rPr>
                <w:iCs/>
                <w:sz w:val="24"/>
                <w:szCs w:val="24"/>
                <w:lang w:val="ru-RU"/>
              </w:rPr>
            </w:pPr>
            <w:r w:rsidRPr="00661288">
              <w:rPr>
                <w:iCs/>
                <w:sz w:val="24"/>
                <w:szCs w:val="24"/>
              </w:rPr>
              <w:t>Протокол №</w:t>
            </w:r>
            <w:r w:rsidR="000726AC">
              <w:rPr>
                <w:iCs/>
                <w:sz w:val="24"/>
                <w:szCs w:val="24"/>
              </w:rPr>
              <w:t>336</w:t>
            </w:r>
            <w:r w:rsidR="00661288" w:rsidRPr="00661288">
              <w:rPr>
                <w:iCs/>
                <w:sz w:val="24"/>
                <w:szCs w:val="24"/>
              </w:rPr>
              <w:t xml:space="preserve"> </w:t>
            </w:r>
            <w:r w:rsidRPr="00661288">
              <w:rPr>
                <w:iCs/>
                <w:sz w:val="24"/>
                <w:szCs w:val="24"/>
              </w:rPr>
              <w:t xml:space="preserve">від </w:t>
            </w:r>
            <w:r w:rsidR="00661288" w:rsidRPr="00661288">
              <w:rPr>
                <w:iCs/>
                <w:sz w:val="24"/>
                <w:szCs w:val="24"/>
              </w:rPr>
              <w:t>15</w:t>
            </w:r>
            <w:r w:rsidR="000455BB" w:rsidRPr="00661288">
              <w:rPr>
                <w:iCs/>
                <w:sz w:val="24"/>
                <w:szCs w:val="24"/>
              </w:rPr>
              <w:t>.03</w:t>
            </w:r>
            <w:r w:rsidRPr="00661288">
              <w:rPr>
                <w:iCs/>
                <w:sz w:val="24"/>
                <w:szCs w:val="24"/>
              </w:rPr>
              <w:t>.2024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0726A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b/>
          <w:bCs/>
          <w:sz w:val="24"/>
          <w:szCs w:val="24"/>
          <w:lang w:val="uk-UA" w:eastAsia="ru-RU"/>
        </w:rPr>
        <w:t>Лікарські засоби різні</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lang w:val="uk-UA"/>
        </w:rPr>
        <w:t>(</w:t>
      </w:r>
      <w:r>
        <w:rPr>
          <w:rFonts w:ascii="Times New Roman" w:eastAsia="Times New Roman" w:hAnsi="Times New Roman"/>
          <w:b/>
          <w:bCs/>
          <w:sz w:val="24"/>
          <w:szCs w:val="24"/>
          <w:lang w:val="uk-UA" w:eastAsia="ru-RU"/>
        </w:rPr>
        <w:t>Еталонні тест-штами мікроорганізмів), згідно коду ДК 021-2015: 33690000-3 – Лікарські засоби різні</w:t>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0726AC">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Лікарські засоби різні</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lang w:val="uk-UA"/>
              </w:rPr>
              <w:t>(</w:t>
            </w:r>
            <w:r>
              <w:rPr>
                <w:rFonts w:ascii="Times New Roman" w:eastAsia="Times New Roman" w:hAnsi="Times New Roman"/>
                <w:b/>
                <w:bCs/>
                <w:sz w:val="24"/>
                <w:szCs w:val="24"/>
                <w:lang w:val="uk-UA" w:eastAsia="ru-RU"/>
              </w:rPr>
              <w:t>Еталонні тест-штами мікроорганізмів), згідно коду ДК 021-2015: 33690000-3 – Лікарські засоби різні</w:t>
            </w:r>
            <w:bookmarkStart w:id="0" w:name="_GoBack"/>
            <w:bookmarkEnd w:id="0"/>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sidR="009C0DC1">
              <w:rPr>
                <w:rFonts w:ascii="Times New Roman" w:eastAsia="Times New Roman" w:hAnsi="Times New Roman" w:cs="Times New Roman"/>
                <w:color w:val="000000"/>
                <w:sz w:val="24"/>
                <w:szCs w:val="24"/>
                <w:lang w:val="uk-UA" w:eastAsia="ru-RU"/>
              </w:rPr>
              <w:t>м перекладом на українську мову.</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hAnsi="Times New Roman" w:cs="Times New Roman"/>
                <w:sz w:val="24"/>
                <w:szCs w:val="24"/>
                <w:lang w:val="uk-UA"/>
              </w:rPr>
              <w:lastRenderedPageBreak/>
              <w:t>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w:t>
            </w:r>
            <w:r>
              <w:rPr>
                <w:rFonts w:ascii="Times New Roman" w:hAnsi="Times New Roman" w:cs="Times New Roman"/>
                <w:b/>
                <w:bCs/>
                <w:i/>
                <w:iCs/>
                <w:sz w:val="24"/>
                <w:szCs w:val="24"/>
                <w:lang w:val="uk-UA"/>
              </w:rPr>
              <w:lastRenderedPageBreak/>
              <w:t>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Pr>
                <w:rFonts w:ascii="Times New Roman" w:hAnsi="Times New Roman" w:cs="Times New Roman"/>
                <w:sz w:val="24"/>
                <w:szCs w:val="24"/>
                <w:lang w:val="uk-UA"/>
              </w:rPr>
              <w:lastRenderedPageBreak/>
              <w:t>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color w:val="000000"/>
                <w:sz w:val="24"/>
                <w:szCs w:val="24"/>
                <w:lang w:val="uk-UA" w:eastAsia="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661288">
              <w:rPr>
                <w:rFonts w:ascii="Times New Roman" w:eastAsia="Times New Roman" w:hAnsi="Times New Roman" w:cs="Times New Roman"/>
                <w:b/>
                <w:bCs/>
                <w:color w:val="000000"/>
                <w:sz w:val="24"/>
                <w:szCs w:val="24"/>
                <w:lang w:val="uk-UA" w:eastAsia="ru-RU"/>
              </w:rPr>
              <w:t>23</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05" w:rsidRDefault="00434005">
      <w:pPr>
        <w:spacing w:line="240" w:lineRule="auto"/>
      </w:pPr>
      <w:r>
        <w:separator/>
      </w:r>
    </w:p>
  </w:endnote>
  <w:endnote w:type="continuationSeparator" w:id="0">
    <w:p w:rsidR="00434005" w:rsidRDefault="0043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05" w:rsidRDefault="00434005">
      <w:pPr>
        <w:spacing w:after="0"/>
      </w:pPr>
      <w:r>
        <w:separator/>
      </w:r>
    </w:p>
  </w:footnote>
  <w:footnote w:type="continuationSeparator" w:id="0">
    <w:p w:rsidR="00434005" w:rsidRDefault="004340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455BB"/>
    <w:rsid w:val="0006014F"/>
    <w:rsid w:val="000726AC"/>
    <w:rsid w:val="000A6D9D"/>
    <w:rsid w:val="000E2F9C"/>
    <w:rsid w:val="00111B7E"/>
    <w:rsid w:val="001741B0"/>
    <w:rsid w:val="00197A05"/>
    <w:rsid w:val="002113D2"/>
    <w:rsid w:val="00214DCD"/>
    <w:rsid w:val="002335B2"/>
    <w:rsid w:val="002812B3"/>
    <w:rsid w:val="0029103A"/>
    <w:rsid w:val="002A15C8"/>
    <w:rsid w:val="002E3020"/>
    <w:rsid w:val="0030388D"/>
    <w:rsid w:val="00314F95"/>
    <w:rsid w:val="003174E6"/>
    <w:rsid w:val="00336DCE"/>
    <w:rsid w:val="00384410"/>
    <w:rsid w:val="003B052B"/>
    <w:rsid w:val="003B0F78"/>
    <w:rsid w:val="003B638E"/>
    <w:rsid w:val="003C273D"/>
    <w:rsid w:val="00434005"/>
    <w:rsid w:val="00436F85"/>
    <w:rsid w:val="0048318C"/>
    <w:rsid w:val="00492EBB"/>
    <w:rsid w:val="00496F7D"/>
    <w:rsid w:val="004B60E5"/>
    <w:rsid w:val="004F35AC"/>
    <w:rsid w:val="0050721B"/>
    <w:rsid w:val="00514EB5"/>
    <w:rsid w:val="00521CAB"/>
    <w:rsid w:val="005442C5"/>
    <w:rsid w:val="005D463B"/>
    <w:rsid w:val="005F58CF"/>
    <w:rsid w:val="006145DC"/>
    <w:rsid w:val="00621408"/>
    <w:rsid w:val="006330E1"/>
    <w:rsid w:val="00644331"/>
    <w:rsid w:val="00661288"/>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1A16"/>
    <w:rsid w:val="009078BF"/>
    <w:rsid w:val="00912ACE"/>
    <w:rsid w:val="00967865"/>
    <w:rsid w:val="009C0DC1"/>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35056</Words>
  <Characters>19983</Characters>
  <Application>Microsoft Office Word</Application>
  <DocSecurity>0</DocSecurity>
  <Lines>166</Lines>
  <Paragraphs>109</Paragraphs>
  <ScaleCrop>false</ScaleCrop>
  <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80</cp:revision>
  <dcterms:created xsi:type="dcterms:W3CDTF">2023-05-19T22:57:00Z</dcterms:created>
  <dcterms:modified xsi:type="dcterms:W3CDTF">2024-03-15T08:35:00Z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