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3C17B" w14:textId="77777777" w:rsidR="008011E7" w:rsidRPr="00F92690" w:rsidRDefault="008011E7" w:rsidP="007C2222">
      <w:pPr>
        <w:spacing w:after="0" w:line="240" w:lineRule="auto"/>
        <w:jc w:val="center"/>
        <w:rPr>
          <w:rFonts w:ascii="Times New Roman" w:hAnsi="Times New Roman" w:cs="Times New Roman"/>
          <w:sz w:val="24"/>
          <w:szCs w:val="24"/>
          <w:lang w:val="uk-UA"/>
        </w:rPr>
      </w:pPr>
      <w:r w:rsidRPr="00F92690">
        <w:rPr>
          <w:rFonts w:ascii="Times New Roman" w:hAnsi="Times New Roman" w:cs="Times New Roman"/>
          <w:sz w:val="24"/>
          <w:szCs w:val="24"/>
          <w:lang w:val="uk-UA"/>
        </w:rPr>
        <w:t>Перелік змін до тендерної документації на закупівлю</w:t>
      </w:r>
    </w:p>
    <w:p w14:paraId="77C279C0" w14:textId="77777777" w:rsidR="007C2222" w:rsidRPr="00F92690" w:rsidRDefault="007F3AF7" w:rsidP="007C2222">
      <w:pPr>
        <w:pStyle w:val="6"/>
        <w:spacing w:before="0" w:after="0" w:line="240" w:lineRule="auto"/>
        <w:jc w:val="center"/>
        <w:rPr>
          <w:rFonts w:ascii="Times New Roman" w:hAnsi="Times New Roman" w:cs="Times New Roman"/>
          <w:b w:val="0"/>
          <w:sz w:val="24"/>
          <w:szCs w:val="24"/>
        </w:rPr>
      </w:pPr>
      <w:r w:rsidRPr="00F92690">
        <w:rPr>
          <w:rFonts w:ascii="Times New Roman" w:hAnsi="Times New Roman" w:cs="Times New Roman"/>
          <w:b w:val="0"/>
          <w:color w:val="000000"/>
          <w:sz w:val="24"/>
          <w:szCs w:val="24"/>
        </w:rPr>
        <w:t>Електрична енергія</w:t>
      </w:r>
    </w:p>
    <w:p w14:paraId="7AC5B481" w14:textId="77777777" w:rsidR="008011E7" w:rsidRPr="00F92690" w:rsidRDefault="007F3AF7" w:rsidP="007C2222">
      <w:pPr>
        <w:spacing w:after="0" w:line="240" w:lineRule="auto"/>
        <w:jc w:val="center"/>
        <w:rPr>
          <w:rFonts w:ascii="Times New Roman" w:hAnsi="Times New Roman" w:cs="Times New Roman"/>
          <w:sz w:val="24"/>
          <w:szCs w:val="24"/>
          <w:lang w:val="uk-UA"/>
        </w:rPr>
      </w:pPr>
      <w:r w:rsidRPr="00F92690">
        <w:rPr>
          <w:rFonts w:ascii="Times New Roman" w:hAnsi="Times New Roman" w:cs="Times New Roman"/>
          <w:color w:val="000000"/>
          <w:sz w:val="24"/>
          <w:szCs w:val="24"/>
          <w:lang w:val="uk-UA"/>
        </w:rPr>
        <w:t>код за ДК 021:2015: 09310000-5 Електрична енергія</w:t>
      </w:r>
    </w:p>
    <w:p w14:paraId="0DAABF83" w14:textId="77777777" w:rsidR="008011E7" w:rsidRPr="00F92690" w:rsidRDefault="008011E7" w:rsidP="007C2222">
      <w:pPr>
        <w:spacing w:after="0" w:line="240" w:lineRule="auto"/>
        <w:jc w:val="center"/>
        <w:rPr>
          <w:rFonts w:ascii="Times New Roman" w:hAnsi="Times New Roman" w:cs="Times New Roman"/>
          <w:sz w:val="24"/>
          <w:szCs w:val="24"/>
          <w:lang w:val="uk-UA"/>
        </w:rPr>
      </w:pPr>
      <w:r w:rsidRPr="00F92690">
        <w:rPr>
          <w:rFonts w:ascii="Times New Roman" w:hAnsi="Times New Roman" w:cs="Times New Roman"/>
          <w:sz w:val="24"/>
          <w:szCs w:val="24"/>
          <w:lang w:val="uk-UA"/>
        </w:rPr>
        <w:t xml:space="preserve">за оголошенням </w:t>
      </w:r>
      <w:r w:rsidR="00CE171D" w:rsidRPr="00CE171D">
        <w:rPr>
          <w:rFonts w:ascii="Times New Roman" w:hAnsi="Times New Roman" w:cs="Times New Roman"/>
          <w:sz w:val="24"/>
          <w:szCs w:val="24"/>
          <w:lang w:val="uk-UA"/>
        </w:rPr>
        <w:t>UA-2024-03-14-006158-a</w:t>
      </w:r>
    </w:p>
    <w:p w14:paraId="6A81C7CC" w14:textId="77777777" w:rsidR="008011E7" w:rsidRPr="00F92690" w:rsidRDefault="008011E7" w:rsidP="00B2365F">
      <w:pPr>
        <w:spacing w:after="0" w:line="240" w:lineRule="auto"/>
        <w:jc w:val="center"/>
        <w:rPr>
          <w:rFonts w:ascii="Times New Roman" w:hAnsi="Times New Roman" w:cs="Times New Roman"/>
          <w:sz w:val="24"/>
          <w:szCs w:val="24"/>
          <w:lang w:val="uk-UA"/>
        </w:rPr>
      </w:pPr>
    </w:p>
    <w:p w14:paraId="0FDADAB1" w14:textId="77777777" w:rsidR="001374A0" w:rsidRPr="00F92690" w:rsidRDefault="001374A0" w:rsidP="001374A0">
      <w:pPr>
        <w:tabs>
          <w:tab w:val="left" w:pos="284"/>
        </w:tabs>
        <w:spacing w:after="0"/>
        <w:jc w:val="both"/>
        <w:rPr>
          <w:rFonts w:ascii="Times New Roman" w:hAnsi="Times New Roman"/>
          <w:sz w:val="24"/>
          <w:szCs w:val="24"/>
          <w:lang w:val="uk-UA"/>
        </w:rPr>
      </w:pPr>
    </w:p>
    <w:p w14:paraId="5A047C42" w14:textId="77777777" w:rsidR="00CD0516" w:rsidRPr="00F92690" w:rsidRDefault="00CD0516" w:rsidP="00CD0516">
      <w:pPr>
        <w:pStyle w:val="a3"/>
        <w:numPr>
          <w:ilvl w:val="0"/>
          <w:numId w:val="2"/>
        </w:numPr>
        <w:tabs>
          <w:tab w:val="left" w:pos="284"/>
          <w:tab w:val="left" w:pos="426"/>
        </w:tabs>
        <w:spacing w:after="0" w:line="240" w:lineRule="auto"/>
        <w:ind w:left="-142" w:firstLine="0"/>
        <w:jc w:val="both"/>
        <w:rPr>
          <w:rFonts w:ascii="Times New Roman" w:hAnsi="Times New Roman" w:cs="Times New Roman"/>
          <w:sz w:val="24"/>
          <w:szCs w:val="24"/>
          <w:lang w:val="uk-UA"/>
        </w:rPr>
      </w:pPr>
      <w:r w:rsidRPr="00F92690">
        <w:rPr>
          <w:rFonts w:ascii="Times New Roman" w:hAnsi="Times New Roman" w:cs="Times New Roman"/>
          <w:sz w:val="24"/>
          <w:szCs w:val="24"/>
          <w:lang w:val="uk-UA"/>
        </w:rPr>
        <w:t xml:space="preserve">Внести зміни до пункту </w:t>
      </w:r>
      <w:bookmarkStart w:id="0" w:name="_Hlk163645442"/>
      <w:r w:rsidRPr="00F92690">
        <w:rPr>
          <w:rFonts w:ascii="Times New Roman" w:hAnsi="Times New Roman" w:cs="Times New Roman"/>
          <w:sz w:val="24"/>
          <w:szCs w:val="24"/>
          <w:lang w:val="uk-UA"/>
        </w:rPr>
        <w:t xml:space="preserve">1 Розділу </w:t>
      </w:r>
      <w:r w:rsidR="00621874" w:rsidRPr="00F92690">
        <w:rPr>
          <w:rFonts w:ascii="Times New Roman" w:hAnsi="Times New Roman" w:cs="Times New Roman"/>
          <w:sz w:val="24"/>
          <w:szCs w:val="24"/>
          <w:lang w:val="uk-UA"/>
        </w:rPr>
        <w:t>ІV</w:t>
      </w:r>
      <w:r w:rsidRPr="00F92690">
        <w:rPr>
          <w:rFonts w:ascii="Times New Roman" w:hAnsi="Times New Roman" w:cs="Times New Roman"/>
          <w:sz w:val="24"/>
          <w:szCs w:val="24"/>
          <w:lang w:val="uk-UA"/>
        </w:rPr>
        <w:t xml:space="preserve"> </w:t>
      </w:r>
      <w:bookmarkEnd w:id="0"/>
      <w:r w:rsidRPr="00F92690">
        <w:rPr>
          <w:rFonts w:ascii="Times New Roman" w:hAnsi="Times New Roman" w:cs="Times New Roman"/>
          <w:sz w:val="24"/>
          <w:szCs w:val="24"/>
          <w:lang w:val="uk-UA"/>
        </w:rPr>
        <w:t xml:space="preserve">тендерної документації, а саме у Кінцевий строк подання тендерної пропозиції, виклавши пункт </w:t>
      </w:r>
      <w:r w:rsidR="00621874" w:rsidRPr="00F92690">
        <w:rPr>
          <w:rFonts w:ascii="Times New Roman" w:hAnsi="Times New Roman" w:cs="Times New Roman"/>
          <w:sz w:val="24"/>
          <w:szCs w:val="24"/>
          <w:lang w:val="uk-UA"/>
        </w:rPr>
        <w:t xml:space="preserve">1 Розділу ІV </w:t>
      </w:r>
      <w:r w:rsidRPr="00F92690">
        <w:rPr>
          <w:rFonts w:ascii="Times New Roman" w:hAnsi="Times New Roman" w:cs="Times New Roman"/>
          <w:sz w:val="24"/>
          <w:szCs w:val="24"/>
          <w:lang w:val="uk-UA"/>
        </w:rPr>
        <w:t xml:space="preserve"> в новій редакції:</w:t>
      </w:r>
    </w:p>
    <w:p w14:paraId="791FE683" w14:textId="77777777" w:rsidR="00CD0516" w:rsidRPr="00F92690" w:rsidRDefault="00CD0516" w:rsidP="00CD0516">
      <w:pPr>
        <w:pStyle w:val="a3"/>
        <w:tabs>
          <w:tab w:val="left" w:pos="284"/>
          <w:tab w:val="left" w:pos="426"/>
        </w:tabs>
        <w:spacing w:after="0" w:line="240" w:lineRule="auto"/>
        <w:ind w:left="-142"/>
        <w:jc w:val="both"/>
        <w:rPr>
          <w:rFonts w:ascii="Times New Roman" w:hAnsi="Times New Roman" w:cs="Times New Roman"/>
          <w:sz w:val="24"/>
          <w:szCs w:val="24"/>
          <w:lang w:val="uk-UA"/>
        </w:rPr>
      </w:pPr>
    </w:p>
    <w:p w14:paraId="57DB1711" w14:textId="77777777" w:rsidR="00CD0516" w:rsidRPr="00F92690" w:rsidRDefault="00CD0516" w:rsidP="00284419">
      <w:pPr>
        <w:pStyle w:val="a3"/>
        <w:tabs>
          <w:tab w:val="left" w:pos="3369"/>
        </w:tabs>
        <w:spacing w:after="0" w:line="240" w:lineRule="auto"/>
        <w:ind w:left="0"/>
        <w:rPr>
          <w:rFonts w:ascii="Times New Roman" w:eastAsia="Times New Roman" w:hAnsi="Times New Roman" w:cs="Times New Roman"/>
          <w:b/>
          <w:i/>
          <w:sz w:val="24"/>
          <w:szCs w:val="24"/>
          <w:lang w:val="uk-UA" w:eastAsia="ru-RU"/>
        </w:rPr>
      </w:pPr>
      <w:r w:rsidRPr="00F92690">
        <w:rPr>
          <w:rFonts w:ascii="Times New Roman" w:hAnsi="Times New Roman" w:cs="Times New Roman"/>
          <w:b/>
          <w:sz w:val="24"/>
          <w:szCs w:val="24"/>
          <w:lang w:val="uk-UA"/>
        </w:rPr>
        <w:t>Стара редакція:</w:t>
      </w:r>
    </w:p>
    <w:tbl>
      <w:tblPr>
        <w:tblpPr w:leftFromText="180" w:rightFromText="180" w:vertAnchor="text" w:tblpXSpec="center" w:tblpY="1"/>
        <w:tblOverlap w:val="neve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522"/>
        <w:gridCol w:w="6380"/>
      </w:tblGrid>
      <w:tr w:rsidR="00621874" w:rsidRPr="00F92690" w14:paraId="6428E02E" w14:textId="77777777" w:rsidTr="000B09D7">
        <w:trPr>
          <w:trHeight w:val="1119"/>
        </w:trPr>
        <w:tc>
          <w:tcPr>
            <w:tcW w:w="705" w:type="dxa"/>
            <w:shd w:val="clear" w:color="auto" w:fill="auto"/>
          </w:tcPr>
          <w:p w14:paraId="0B10BB2D" w14:textId="77777777" w:rsidR="00621874" w:rsidRPr="00F92690" w:rsidRDefault="00621874" w:rsidP="00621874">
            <w:pPr>
              <w:pStyle w:val="a5"/>
              <w:spacing w:before="0" w:beforeAutospacing="0" w:after="0" w:afterAutospacing="0"/>
              <w:jc w:val="center"/>
              <w:rPr>
                <w:b/>
                <w:strike/>
                <w:lang w:val="uk-UA"/>
              </w:rPr>
            </w:pPr>
            <w:r w:rsidRPr="00F92690">
              <w:rPr>
                <w:rFonts w:eastAsiaTheme="minorHAnsi"/>
                <w:lang w:val="uk-UA" w:eastAsia="en-US"/>
              </w:rPr>
              <w:t>1</w:t>
            </w:r>
          </w:p>
        </w:tc>
        <w:tc>
          <w:tcPr>
            <w:tcW w:w="2522" w:type="dxa"/>
            <w:shd w:val="clear" w:color="auto" w:fill="auto"/>
          </w:tcPr>
          <w:p w14:paraId="1BE95237" w14:textId="77777777" w:rsidR="00621874" w:rsidRPr="00F92690" w:rsidRDefault="00621874" w:rsidP="00621874">
            <w:pPr>
              <w:rPr>
                <w:rFonts w:ascii="Times New Roman" w:eastAsia="Calibri" w:hAnsi="Times New Roman" w:cs="Times New Roman"/>
                <w:strike/>
                <w:sz w:val="24"/>
                <w:szCs w:val="24"/>
                <w:lang w:val="uk-UA" w:eastAsia="uk-UA"/>
              </w:rPr>
            </w:pPr>
            <w:r w:rsidRPr="00F92690">
              <w:rPr>
                <w:rFonts w:ascii="Times New Roman" w:eastAsia="Calibri" w:hAnsi="Times New Roman" w:cs="Times New Roman"/>
                <w:strike/>
                <w:sz w:val="24"/>
                <w:szCs w:val="24"/>
                <w:lang w:val="uk-UA" w:eastAsia="uk-UA"/>
              </w:rPr>
              <w:t xml:space="preserve">Кінцевий строк подання тендерної пропозиції </w:t>
            </w:r>
          </w:p>
          <w:p w14:paraId="6103C98B" w14:textId="77777777" w:rsidR="00621874" w:rsidRPr="00F92690" w:rsidRDefault="00621874" w:rsidP="00621874">
            <w:pPr>
              <w:rPr>
                <w:rFonts w:ascii="Times New Roman" w:eastAsia="Calibri" w:hAnsi="Times New Roman" w:cs="Times New Roman"/>
                <w:strike/>
                <w:sz w:val="24"/>
                <w:szCs w:val="24"/>
                <w:lang w:val="uk-UA" w:eastAsia="uk-UA"/>
              </w:rPr>
            </w:pPr>
          </w:p>
        </w:tc>
        <w:tc>
          <w:tcPr>
            <w:tcW w:w="6380" w:type="dxa"/>
            <w:shd w:val="clear" w:color="auto" w:fill="auto"/>
          </w:tcPr>
          <w:p w14:paraId="6957B0DC" w14:textId="77777777" w:rsidR="00621874" w:rsidRPr="00F92690" w:rsidRDefault="00621874" w:rsidP="00621874">
            <w:pPr>
              <w:rPr>
                <w:rFonts w:ascii="Times New Roman" w:eastAsia="Calibri" w:hAnsi="Times New Roman" w:cs="Times New Roman"/>
                <w:strike/>
                <w:sz w:val="24"/>
                <w:szCs w:val="24"/>
                <w:lang w:val="uk-UA" w:eastAsia="uk-UA"/>
              </w:rPr>
            </w:pPr>
            <w:r w:rsidRPr="00F92690">
              <w:rPr>
                <w:rFonts w:ascii="Times New Roman" w:eastAsia="Calibri" w:hAnsi="Times New Roman" w:cs="Times New Roman"/>
                <w:strike/>
                <w:sz w:val="24"/>
                <w:szCs w:val="24"/>
                <w:lang w:val="uk-UA" w:eastAsia="uk-UA"/>
              </w:rPr>
              <w:t>Кінцевий строк подання тендерної пропозиції 1.1. Кінцевий строк подання тендерних пропозицій до 22.03.2024 року 1.2. Отримана тендерна пропозиція автоматично вноситься до реєстру. 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1.4. Тендерні пропозиції після закінчення кінцевого строку їх подання не приймаються електронною системою закупівель.</w:t>
            </w:r>
          </w:p>
        </w:tc>
      </w:tr>
    </w:tbl>
    <w:p w14:paraId="0F2D3302" w14:textId="77777777" w:rsidR="00CD0516" w:rsidRPr="00F92690" w:rsidRDefault="00CD0516" w:rsidP="00CD0516">
      <w:pPr>
        <w:tabs>
          <w:tab w:val="left" w:pos="284"/>
          <w:tab w:val="left" w:pos="426"/>
        </w:tabs>
        <w:spacing w:after="0" w:line="240" w:lineRule="auto"/>
        <w:jc w:val="both"/>
        <w:rPr>
          <w:rFonts w:ascii="Times New Roman" w:eastAsia="Times New Roman" w:hAnsi="Times New Roman" w:cs="Times New Roman"/>
          <w:b/>
          <w:i/>
          <w:sz w:val="24"/>
          <w:szCs w:val="24"/>
          <w:lang w:val="uk-UA" w:eastAsia="ru-RU"/>
        </w:rPr>
      </w:pPr>
    </w:p>
    <w:p w14:paraId="540A9596" w14:textId="77777777" w:rsidR="00CD0516" w:rsidRPr="00F92690" w:rsidRDefault="00CD0516" w:rsidP="00284419">
      <w:pPr>
        <w:tabs>
          <w:tab w:val="left" w:pos="3369"/>
        </w:tabs>
        <w:spacing w:after="0" w:line="240" w:lineRule="auto"/>
        <w:rPr>
          <w:rFonts w:ascii="Times New Roman" w:eastAsia="Times New Roman" w:hAnsi="Times New Roman" w:cs="Times New Roman"/>
          <w:b/>
          <w:i/>
          <w:sz w:val="24"/>
          <w:szCs w:val="24"/>
          <w:lang w:val="uk-UA" w:eastAsia="ru-RU"/>
        </w:rPr>
      </w:pPr>
      <w:r w:rsidRPr="00F92690">
        <w:rPr>
          <w:rFonts w:ascii="Times New Roman" w:hAnsi="Times New Roman" w:cs="Times New Roman"/>
          <w:b/>
          <w:sz w:val="24"/>
          <w:szCs w:val="24"/>
          <w:lang w:val="uk-UA"/>
        </w:rPr>
        <w:t>Нова редакція:</w:t>
      </w:r>
    </w:p>
    <w:tbl>
      <w:tblPr>
        <w:tblpPr w:leftFromText="180" w:rightFromText="180" w:vertAnchor="text" w:tblpXSpec="center" w:tblpY="1"/>
        <w:tblOverlap w:val="neve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522"/>
        <w:gridCol w:w="6380"/>
      </w:tblGrid>
      <w:tr w:rsidR="00BB3DC2" w:rsidRPr="00F92690" w14:paraId="4C6F7E2E" w14:textId="77777777" w:rsidTr="004362B4">
        <w:trPr>
          <w:trHeight w:val="1119"/>
        </w:trPr>
        <w:tc>
          <w:tcPr>
            <w:tcW w:w="705" w:type="dxa"/>
            <w:shd w:val="clear" w:color="auto" w:fill="auto"/>
          </w:tcPr>
          <w:p w14:paraId="35198EBC" w14:textId="77777777" w:rsidR="00BB3DC2" w:rsidRPr="00F92690" w:rsidRDefault="00BB3DC2" w:rsidP="00BB3DC2">
            <w:pPr>
              <w:pStyle w:val="a5"/>
              <w:spacing w:before="0" w:beforeAutospacing="0" w:after="0" w:afterAutospacing="0"/>
              <w:jc w:val="center"/>
              <w:rPr>
                <w:b/>
                <w:lang w:val="uk-UA"/>
              </w:rPr>
            </w:pPr>
            <w:r w:rsidRPr="00F92690">
              <w:rPr>
                <w:b/>
                <w:lang w:val="uk-UA"/>
              </w:rPr>
              <w:t>1</w:t>
            </w:r>
          </w:p>
        </w:tc>
        <w:tc>
          <w:tcPr>
            <w:tcW w:w="2522" w:type="dxa"/>
            <w:shd w:val="clear" w:color="auto" w:fill="auto"/>
          </w:tcPr>
          <w:p w14:paraId="308583B6" w14:textId="77777777" w:rsidR="00621874" w:rsidRPr="00F92690" w:rsidRDefault="00621874" w:rsidP="00621874">
            <w:pPr>
              <w:rPr>
                <w:rFonts w:ascii="Times New Roman" w:eastAsia="Times New Roman" w:hAnsi="Times New Roman" w:cs="Times New Roman"/>
                <w:color w:val="000000"/>
                <w:sz w:val="24"/>
                <w:szCs w:val="24"/>
                <w:lang w:val="uk-UA" w:eastAsia="ru-RU"/>
              </w:rPr>
            </w:pPr>
            <w:r w:rsidRPr="00F92690">
              <w:rPr>
                <w:rFonts w:ascii="Times New Roman" w:eastAsia="Times New Roman" w:hAnsi="Times New Roman" w:cs="Times New Roman"/>
                <w:color w:val="000000"/>
                <w:sz w:val="24"/>
                <w:szCs w:val="24"/>
                <w:lang w:val="uk-UA" w:eastAsia="ru-RU"/>
              </w:rPr>
              <w:t xml:space="preserve">Кінцевий строк подання тендерної пропозиції </w:t>
            </w:r>
          </w:p>
          <w:p w14:paraId="0D1AA68D" w14:textId="77777777" w:rsidR="00BB3DC2" w:rsidRPr="00F92690" w:rsidRDefault="00BB3DC2" w:rsidP="00BB3DC2">
            <w:pPr>
              <w:pStyle w:val="a5"/>
              <w:spacing w:before="0" w:beforeAutospacing="0" w:after="0" w:afterAutospacing="0"/>
              <w:rPr>
                <w:color w:val="000000"/>
                <w:lang w:val="uk-UA"/>
              </w:rPr>
            </w:pPr>
          </w:p>
        </w:tc>
        <w:tc>
          <w:tcPr>
            <w:tcW w:w="6380" w:type="dxa"/>
            <w:shd w:val="clear" w:color="auto" w:fill="auto"/>
          </w:tcPr>
          <w:p w14:paraId="527422FF" w14:textId="1E499A0D" w:rsidR="00BB3DC2" w:rsidRPr="00F92690" w:rsidRDefault="00621874" w:rsidP="00BB3DC2">
            <w:pPr>
              <w:pStyle w:val="a5"/>
              <w:spacing w:before="0" w:beforeAutospacing="0" w:after="0" w:afterAutospacing="0"/>
              <w:jc w:val="both"/>
              <w:rPr>
                <w:color w:val="000000"/>
                <w:lang w:val="uk-UA"/>
              </w:rPr>
            </w:pPr>
            <w:r w:rsidRPr="00F92690">
              <w:rPr>
                <w:color w:val="000000"/>
                <w:lang w:val="uk-UA"/>
              </w:rPr>
              <w:t xml:space="preserve">Кінцевий строк подання тендерної пропозиції 1.1. Кінцевий строк подання тендерних пропозицій до </w:t>
            </w:r>
            <w:r w:rsidR="0085382C">
              <w:rPr>
                <w:color w:val="000000"/>
                <w:lang w:val="uk-UA"/>
              </w:rPr>
              <w:t>24</w:t>
            </w:r>
            <w:r w:rsidRPr="00F92690">
              <w:rPr>
                <w:color w:val="000000"/>
                <w:lang w:val="uk-UA"/>
              </w:rPr>
              <w:t>.04.2024 року 1.2. Отримана тендерна пропозиція автоматично вноситься до реєстру. 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1.4. Тендерні пропозиції після закінчення кінцевого строку їх подання не приймаються електронною системою закупівель.</w:t>
            </w:r>
          </w:p>
        </w:tc>
      </w:tr>
    </w:tbl>
    <w:p w14:paraId="6C4899FA" w14:textId="77777777" w:rsidR="00CD0516" w:rsidRPr="00F92690" w:rsidRDefault="00CD0516" w:rsidP="00284419">
      <w:pPr>
        <w:pStyle w:val="a3"/>
        <w:widowControl w:val="0"/>
        <w:tabs>
          <w:tab w:val="left" w:pos="0"/>
        </w:tabs>
        <w:spacing w:after="0" w:line="240" w:lineRule="auto"/>
        <w:ind w:left="-284"/>
        <w:jc w:val="both"/>
        <w:rPr>
          <w:rFonts w:ascii="Times New Roman" w:eastAsia="Times New Roman" w:hAnsi="Times New Roman" w:cs="Times New Roman"/>
          <w:sz w:val="24"/>
          <w:szCs w:val="24"/>
          <w:lang w:val="uk-UA"/>
        </w:rPr>
      </w:pPr>
    </w:p>
    <w:p w14:paraId="384801E8" w14:textId="77777777" w:rsidR="007733EF" w:rsidRPr="00F92690" w:rsidRDefault="007733EF" w:rsidP="007B6E81">
      <w:pPr>
        <w:pStyle w:val="a3"/>
        <w:widowControl w:val="0"/>
        <w:numPr>
          <w:ilvl w:val="0"/>
          <w:numId w:val="2"/>
        </w:numPr>
        <w:tabs>
          <w:tab w:val="left" w:pos="0"/>
        </w:tabs>
        <w:spacing w:after="0" w:line="240" w:lineRule="auto"/>
        <w:ind w:left="-284" w:firstLine="0"/>
        <w:jc w:val="both"/>
        <w:rPr>
          <w:rFonts w:ascii="Times New Roman" w:eastAsia="Times New Roman" w:hAnsi="Times New Roman" w:cs="Times New Roman"/>
          <w:sz w:val="24"/>
          <w:szCs w:val="24"/>
          <w:lang w:val="uk-UA"/>
        </w:rPr>
      </w:pPr>
      <w:r w:rsidRPr="00F92690">
        <w:rPr>
          <w:rFonts w:ascii="Times New Roman" w:hAnsi="Times New Roman" w:cs="Times New Roman"/>
          <w:sz w:val="24"/>
          <w:szCs w:val="24"/>
          <w:lang w:val="uk-UA"/>
        </w:rPr>
        <w:t xml:space="preserve">Внести зміни до </w:t>
      </w:r>
      <w:bookmarkStart w:id="1" w:name="_Hlk163644292"/>
      <w:bookmarkStart w:id="2" w:name="_Hlk163644576"/>
      <w:r w:rsidR="002A0220" w:rsidRPr="00F92690">
        <w:rPr>
          <w:rFonts w:ascii="Times New Roman" w:hAnsi="Times New Roman" w:cs="Times New Roman"/>
          <w:sz w:val="24"/>
          <w:szCs w:val="24"/>
          <w:lang w:val="uk-UA"/>
        </w:rPr>
        <w:t>підпункту</w:t>
      </w:r>
      <w:r w:rsidR="007B6E81" w:rsidRPr="00F92690">
        <w:rPr>
          <w:rFonts w:ascii="Times New Roman" w:hAnsi="Times New Roman" w:cs="Times New Roman"/>
          <w:sz w:val="24"/>
          <w:szCs w:val="24"/>
          <w:lang w:val="uk-UA"/>
        </w:rPr>
        <w:t xml:space="preserve"> 3.1. </w:t>
      </w:r>
      <w:r w:rsidR="002A0220" w:rsidRPr="00F92690">
        <w:rPr>
          <w:rFonts w:ascii="Times New Roman" w:hAnsi="Times New Roman" w:cs="Times New Roman"/>
          <w:sz w:val="24"/>
          <w:szCs w:val="24"/>
          <w:lang w:val="uk-UA"/>
        </w:rPr>
        <w:t xml:space="preserve">пункту </w:t>
      </w:r>
      <w:r w:rsidR="007B6E81" w:rsidRPr="00F92690">
        <w:rPr>
          <w:rFonts w:ascii="Times New Roman" w:hAnsi="Times New Roman" w:cs="Times New Roman"/>
          <w:sz w:val="24"/>
          <w:szCs w:val="24"/>
          <w:lang w:val="uk-UA"/>
        </w:rPr>
        <w:t>3 Розділу V Документації</w:t>
      </w:r>
      <w:bookmarkEnd w:id="1"/>
      <w:bookmarkEnd w:id="2"/>
      <w:r w:rsidRPr="00F92690">
        <w:rPr>
          <w:rFonts w:ascii="Times New Roman" w:hAnsi="Times New Roman" w:cs="Times New Roman"/>
          <w:sz w:val="24"/>
          <w:szCs w:val="24"/>
          <w:lang w:val="uk-UA"/>
        </w:rPr>
        <w:t xml:space="preserve">, а саме </w:t>
      </w:r>
      <w:r w:rsidRPr="00F92690">
        <w:rPr>
          <w:rFonts w:ascii="Times New Roman" w:hAnsi="Times New Roman"/>
          <w:sz w:val="24"/>
          <w:szCs w:val="24"/>
          <w:lang w:val="uk-UA"/>
        </w:rPr>
        <w:t xml:space="preserve">викласти </w:t>
      </w:r>
      <w:r w:rsidR="007B6E81" w:rsidRPr="00F92690">
        <w:rPr>
          <w:rFonts w:ascii="Times New Roman" w:hAnsi="Times New Roman" w:cs="Times New Roman"/>
          <w:sz w:val="24"/>
          <w:szCs w:val="24"/>
          <w:lang w:val="uk-UA"/>
        </w:rPr>
        <w:t>підпункт</w:t>
      </w:r>
      <w:r w:rsidR="002A0220" w:rsidRPr="00F92690">
        <w:rPr>
          <w:rFonts w:ascii="Times New Roman" w:hAnsi="Times New Roman" w:cs="Times New Roman"/>
          <w:sz w:val="24"/>
          <w:szCs w:val="24"/>
          <w:lang w:val="uk-UA"/>
        </w:rPr>
        <w:t xml:space="preserve"> 3.1. пункту 3 Розділу V Документації</w:t>
      </w:r>
      <w:r w:rsidRPr="00F92690">
        <w:rPr>
          <w:rFonts w:ascii="Times New Roman" w:hAnsi="Times New Roman" w:cs="Times New Roman"/>
          <w:sz w:val="24"/>
          <w:szCs w:val="24"/>
          <w:lang w:val="uk-UA"/>
        </w:rPr>
        <w:t xml:space="preserve"> в </w:t>
      </w:r>
      <w:r w:rsidR="00AD1260" w:rsidRPr="00F92690">
        <w:rPr>
          <w:rFonts w:ascii="Times New Roman" w:hAnsi="Times New Roman" w:cs="Times New Roman"/>
          <w:sz w:val="24"/>
          <w:szCs w:val="24"/>
          <w:lang w:val="uk-UA"/>
        </w:rPr>
        <w:t>новій</w:t>
      </w:r>
      <w:r w:rsidRPr="00F92690">
        <w:rPr>
          <w:rFonts w:ascii="Times New Roman" w:hAnsi="Times New Roman" w:cs="Times New Roman"/>
          <w:sz w:val="24"/>
          <w:szCs w:val="24"/>
          <w:lang w:val="uk-UA"/>
        </w:rPr>
        <w:t xml:space="preserve"> редакції:</w:t>
      </w:r>
    </w:p>
    <w:p w14:paraId="3D7E0550" w14:textId="77777777" w:rsidR="007733EF" w:rsidRPr="00F92690" w:rsidRDefault="007733EF" w:rsidP="00AD1260">
      <w:pPr>
        <w:tabs>
          <w:tab w:val="left" w:pos="0"/>
          <w:tab w:val="left" w:pos="3369"/>
        </w:tabs>
        <w:spacing w:after="0" w:line="240" w:lineRule="auto"/>
        <w:ind w:left="-284"/>
        <w:jc w:val="center"/>
        <w:rPr>
          <w:rFonts w:ascii="Times New Roman" w:hAnsi="Times New Roman" w:cs="Times New Roman"/>
          <w:b/>
          <w:sz w:val="24"/>
          <w:szCs w:val="24"/>
          <w:lang w:val="uk-UA"/>
        </w:rPr>
      </w:pPr>
    </w:p>
    <w:p w14:paraId="269E9459" w14:textId="77777777" w:rsidR="007733EF" w:rsidRPr="00F92690" w:rsidRDefault="007733EF" w:rsidP="00AD1260">
      <w:pPr>
        <w:tabs>
          <w:tab w:val="left" w:pos="0"/>
          <w:tab w:val="left" w:pos="3369"/>
        </w:tabs>
        <w:spacing w:after="0" w:line="240" w:lineRule="auto"/>
        <w:ind w:left="-284"/>
        <w:rPr>
          <w:rFonts w:ascii="Times New Roman" w:hAnsi="Times New Roman" w:cs="Times New Roman"/>
          <w:b/>
          <w:sz w:val="24"/>
          <w:szCs w:val="24"/>
          <w:lang w:val="uk-UA"/>
        </w:rPr>
      </w:pPr>
      <w:bookmarkStart w:id="3" w:name="_Hlk163646152"/>
      <w:r w:rsidRPr="00F92690">
        <w:rPr>
          <w:rFonts w:ascii="Times New Roman" w:hAnsi="Times New Roman" w:cs="Times New Roman"/>
          <w:b/>
          <w:sz w:val="24"/>
          <w:szCs w:val="24"/>
          <w:lang w:val="uk-UA"/>
        </w:rPr>
        <w:t>Стара редакція:</w:t>
      </w:r>
    </w:p>
    <w:p w14:paraId="2CADDC58" w14:textId="77777777" w:rsidR="002A0220" w:rsidRPr="00F92690" w:rsidRDefault="002A0220" w:rsidP="00AD1260">
      <w:pPr>
        <w:tabs>
          <w:tab w:val="left" w:pos="0"/>
          <w:tab w:val="left" w:pos="3369"/>
        </w:tabs>
        <w:spacing w:after="0" w:line="240" w:lineRule="auto"/>
        <w:ind w:left="-284"/>
        <w:rPr>
          <w:rFonts w:ascii="Times New Roman" w:hAnsi="Times New Roman" w:cs="Times New Roman"/>
          <w:b/>
          <w:sz w:val="24"/>
          <w:szCs w:val="24"/>
          <w:lang w:val="uk-UA"/>
        </w:rPr>
      </w:pPr>
    </w:p>
    <w:p w14:paraId="24EAF6C9" w14:textId="77777777" w:rsidR="002A0220" w:rsidRPr="00F92690" w:rsidRDefault="002A0220" w:rsidP="002A0220">
      <w:pPr>
        <w:pStyle w:val="a5"/>
        <w:jc w:val="both"/>
        <w:rPr>
          <w:color w:val="000000"/>
          <w:lang w:val="uk-UA"/>
        </w:rPr>
      </w:pPr>
      <w:bookmarkStart w:id="4" w:name="_Hlk163644937"/>
      <w:bookmarkEnd w:id="3"/>
      <w:r w:rsidRPr="00F92690">
        <w:rPr>
          <w:color w:val="000000"/>
          <w:lang w:val="uk-UA"/>
        </w:rPr>
        <w:t xml:space="preserve">3.1. Учасник в складі тендерної пропозиції також надає: 1) Інформацію в довільній формі про те, що учасник процедури закупівлі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w:t>
      </w:r>
      <w:r w:rsidRPr="00F92690">
        <w:rPr>
          <w:color w:val="000000"/>
          <w:lang w:val="uk-UA"/>
        </w:rPr>
        <w:lastRenderedPageBreak/>
        <w:t xml:space="preserve">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2) Гарантійний лист про відсутність санкцій </w:t>
      </w:r>
      <w:r w:rsidR="008F27D4">
        <w:rPr>
          <w:color w:val="000000"/>
          <w:lang w:val="uk-UA"/>
        </w:rPr>
        <w:t>–</w:t>
      </w:r>
      <w:r w:rsidRPr="00F92690">
        <w:rPr>
          <w:color w:val="000000"/>
          <w:lang w:val="uk-UA"/>
        </w:rPr>
        <w:t xml:space="preserve"> враховуючи</w:t>
      </w:r>
      <w:r w:rsidR="008F27D4">
        <w:rPr>
          <w:color w:val="000000"/>
          <w:lang w:val="en-US"/>
        </w:rPr>
        <w:t xml:space="preserve"> </w:t>
      </w:r>
      <w:r w:rsidRPr="00F92690">
        <w:rPr>
          <w:color w:val="000000"/>
          <w:lang w:val="uk-UA"/>
        </w:rPr>
        <w:t>вимоги Закону України «Про санкції» від 14.08.2014р. №1644 - VII, вимоги абз.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Рішення РНБО від 28 квітня 2017 року введене в дію Указом Президента України від 15.05.2017 № 133/2017 «Про застосування персональних спеціальних економічних та інших обмежувальних заходів (санкцій)», Рішення РНБО від 19.03.2019 року введене в дію Указом Президента України від 19.03.2019 №82/2019 «Про застосування, скасування та внесення змін до персональних спеціальних економічних та інших обмежувальних заходів (санкцій)», Рішення РНБО від 14.05.2020 року введене в дію Указом Президента України №184/2020 від 14.05.2020 «Про застосування, скасування та внесення змін до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N 2231 щодо Спільного всеосяжного плану дій в частині персональних санкцій» тендерна пропозиція Учасника буде вважатися такою, що не відповідає умовам тендерної документації, якщо: -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 - цей Учасник є юридичною особою – резидентом Російської Федерації/Республіки Білорусь/Ісламської Республіки Іран (крім того, що проживає на території України на законних підставах) державної форми власності та/або юридичною особою, частка статутного капіталу якого перебуває у власності Російської Федерації/ Республіки Білорусь/Ісламської Республіки Іран; - цей Учасник здійснює продаж товарів, робіт та послуг походженням з Російської Федерації/ Республіки Білорусь/Ісламської Республіки Іран, крім випадків, коли заміщення таких предметів закупівлі іншими неможливе, що підтверджено Міністерством економічного розвитку і торгівлі. *Замовник не несе відповідальність у разі зазначення Учасником недостовірних даних, наданих на підтвердження вищезазначеної інформації.</w:t>
      </w:r>
    </w:p>
    <w:p w14:paraId="650A3630" w14:textId="77777777" w:rsidR="002A0220" w:rsidRPr="00F92690" w:rsidRDefault="002A0220" w:rsidP="002A0220">
      <w:pPr>
        <w:pStyle w:val="a5"/>
        <w:jc w:val="both"/>
        <w:rPr>
          <w:rFonts w:eastAsia="Calibri"/>
          <w:strike/>
          <w:lang w:val="uk-UA" w:eastAsia="uk-UA"/>
        </w:rPr>
      </w:pPr>
      <w:r w:rsidRPr="00F92690">
        <w:rPr>
          <w:color w:val="000000"/>
          <w:sz w:val="27"/>
          <w:szCs w:val="27"/>
          <w:lang w:val="uk-UA"/>
        </w:rPr>
        <w:lastRenderedPageBreak/>
        <w:t xml:space="preserve"> </w:t>
      </w:r>
      <w:r w:rsidRPr="00F92690">
        <w:rPr>
          <w:rFonts w:eastAsia="Calibri"/>
          <w:strike/>
          <w:lang w:val="uk-UA" w:eastAsia="uk-UA"/>
        </w:rPr>
        <w:t xml:space="preserve">3) Інформація від Державної податкової служби України про відсутність або виключення Учасника процедури закупівлі у(з) переліку суб’єктів господарювання, які відповідають критеріям ризиковості платника податку. Лист повинен бути виданий не раніше за 90 днів до дати оголошення про проведення відкритих торгів. </w:t>
      </w:r>
    </w:p>
    <w:p w14:paraId="53CDBFFB" w14:textId="77777777" w:rsidR="002A0220" w:rsidRPr="00F92690" w:rsidRDefault="002A0220" w:rsidP="002A0220">
      <w:pPr>
        <w:pStyle w:val="a5"/>
        <w:jc w:val="both"/>
        <w:rPr>
          <w:color w:val="000000"/>
          <w:sz w:val="27"/>
          <w:szCs w:val="27"/>
          <w:lang w:val="uk-UA"/>
        </w:rPr>
      </w:pPr>
      <w:bookmarkStart w:id="5" w:name="_Hlk163647223"/>
      <w:r w:rsidRPr="00F92690">
        <w:rPr>
          <w:rFonts w:eastAsia="Calibri"/>
          <w:strike/>
          <w:lang w:val="uk-UA" w:eastAsia="uk-UA"/>
        </w:rPr>
        <w:t>4) На підтвердження виконання вимог підпункту 8 пункту 2.2. глави 2 Постанови НКРЕКП від 27.12.2017 № 1469 «Про затвердження Ліцензійних умов провадження господарської діяльності з постачання електричної енергії споживачу», щодо забезпечення функціонування веб-сайту ліцензіата в мережі Інтернет, Учасник повинен надати підтвердження проходження сертифікації системи управління інформаційною безпекою діяльності з забезпечення функціонування веб-сайта ліцензіата вимогам ДСТУ ISO/ІЕС 27001:2023) «Інформаційна безпека, кібербезпека та захист конфіденційності. Системи керування інформаційною безпекою. Вимоги» (веб-портали (ДКПП 63.12), у вигляді копії відповідного сертифікату, виданого на ім‘я учасника закупівлі, дійсного на момент подання пропозиції</w:t>
      </w:r>
      <w:r w:rsidRPr="00F92690">
        <w:rPr>
          <w:color w:val="000000"/>
          <w:sz w:val="27"/>
          <w:szCs w:val="27"/>
          <w:lang w:val="uk-UA"/>
        </w:rPr>
        <w:t xml:space="preserve">. </w:t>
      </w:r>
    </w:p>
    <w:bookmarkEnd w:id="5"/>
    <w:p w14:paraId="174AD348" w14:textId="77777777" w:rsidR="002A0220" w:rsidRPr="00F92690" w:rsidRDefault="002A0220" w:rsidP="002A0220">
      <w:pPr>
        <w:pStyle w:val="a5"/>
        <w:jc w:val="both"/>
        <w:rPr>
          <w:color w:val="000000"/>
          <w:lang w:val="uk-UA"/>
        </w:rPr>
      </w:pPr>
      <w:r w:rsidRPr="00F92690">
        <w:rPr>
          <w:color w:val="000000"/>
          <w:lang w:val="uk-UA"/>
        </w:rPr>
        <w:t xml:space="preserve">5) Лист від НЕК «Укренерго» з підтвердженням реєстрації представника учасника на інформаційно-комунікаційній платформі Датахаб в якості користувача з відповідними повноваженнями постачальника (з 16.11.2023, роль «Постачальник» перейменовано в «СВБ»). 3.2. 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2297-VI. У всіх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3.3. Відповідальність за достовірність наданої інформації в своїй пропозиції несе учасник. 3.4. Замовник не несе відповідальність у разі зазначення Учасником недостовірних даних, наданих на підтвердження вищезазначеної інформації; 3.5. До ціни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пропозиції, замовником не відшкодовуються (в тому числі й у разі відміни торгів чи визнання торгів такими, що не відбулися). Якщо ціна пропозиції не включає будь-яких витрат учасника, про які зазначається в цій тендерній документації, такі витрати покладаються на учасника. Учасник визначає ціну пропозиції з урахуванням податків і зборів, що сплачуються або мають бути сплачені, а також витрат на страхування та інших витрат, визначених законодавством. 3.6. 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3.7. 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 закупівель і в наслідок яких порушено право чи законні інтереси такої особи. Оскарження дій Замовника здійснюється у порядку,передбаченому Законом та Особливостями. 3.8. Відсутність будь-яких запитань або уточнень стосовно змісту та викладення вимог документації з боку Учасників процедури закупівлі, які отримали цю документацію, буде означати, що Учасники процедури закупівлі, що беруть участь в цих торгах, повністю усвідомлюють зміст цієї документації та вимоги даної документації. У разі виникнення в Учасників процедури закупівлі питань, що не висвітлені </w:t>
      </w:r>
      <w:r w:rsidRPr="00F92690">
        <w:rPr>
          <w:color w:val="000000"/>
          <w:lang w:val="uk-UA"/>
        </w:rPr>
        <w:lastRenderedPageBreak/>
        <w:t>у документації, Уповноважена особа при їх практичному обговоренні з Учасниками процедури закупівлі та вирішенні керується чинним законодавством України. 3.9. Всі листи та довідки складені в довільній формі, повинні мати вихідний номер та дату складання документа.</w:t>
      </w:r>
    </w:p>
    <w:p w14:paraId="2C98357E" w14:textId="77777777" w:rsidR="002A0220" w:rsidRPr="00F92690" w:rsidRDefault="002A0220" w:rsidP="00AD1260">
      <w:pPr>
        <w:tabs>
          <w:tab w:val="left" w:pos="0"/>
          <w:tab w:val="left" w:pos="3369"/>
        </w:tabs>
        <w:spacing w:after="0" w:line="240" w:lineRule="auto"/>
        <w:ind w:left="-284"/>
        <w:rPr>
          <w:rFonts w:ascii="Times New Roman" w:hAnsi="Times New Roman" w:cs="Times New Roman"/>
          <w:b/>
          <w:sz w:val="24"/>
          <w:szCs w:val="24"/>
          <w:lang w:val="uk-UA"/>
        </w:rPr>
      </w:pPr>
    </w:p>
    <w:bookmarkEnd w:id="4"/>
    <w:p w14:paraId="6648EF6C" w14:textId="77777777" w:rsidR="007733EF" w:rsidRPr="00F92690" w:rsidRDefault="007733EF" w:rsidP="00AD1260">
      <w:pPr>
        <w:tabs>
          <w:tab w:val="left" w:pos="0"/>
          <w:tab w:val="left" w:pos="3369"/>
        </w:tabs>
        <w:spacing w:after="0" w:line="240" w:lineRule="auto"/>
        <w:ind w:left="-284"/>
        <w:rPr>
          <w:rFonts w:ascii="Times New Roman" w:hAnsi="Times New Roman" w:cs="Times New Roman"/>
          <w:b/>
          <w:sz w:val="24"/>
          <w:szCs w:val="24"/>
          <w:lang w:val="uk-UA"/>
        </w:rPr>
      </w:pPr>
      <w:r w:rsidRPr="00F92690">
        <w:rPr>
          <w:rFonts w:ascii="Times New Roman" w:hAnsi="Times New Roman" w:cs="Times New Roman"/>
          <w:b/>
          <w:sz w:val="24"/>
          <w:szCs w:val="24"/>
          <w:lang w:val="uk-UA"/>
        </w:rPr>
        <w:t>Нова редакція:</w:t>
      </w:r>
    </w:p>
    <w:p w14:paraId="1715FB79" w14:textId="77777777" w:rsidR="007B6E81" w:rsidRPr="00F92690" w:rsidRDefault="007B6E81" w:rsidP="00AD1260">
      <w:pPr>
        <w:tabs>
          <w:tab w:val="left" w:pos="0"/>
          <w:tab w:val="left" w:pos="3369"/>
        </w:tabs>
        <w:spacing w:after="0" w:line="240" w:lineRule="auto"/>
        <w:ind w:left="-284"/>
        <w:rPr>
          <w:rFonts w:ascii="Times New Roman" w:eastAsia="Times New Roman" w:hAnsi="Times New Roman" w:cs="Times New Roman"/>
          <w:bCs/>
          <w:sz w:val="24"/>
          <w:szCs w:val="28"/>
          <w:lang w:val="uk-UA" w:eastAsia="ru-RU"/>
        </w:rPr>
      </w:pPr>
    </w:p>
    <w:p w14:paraId="415D0063" w14:textId="77777777" w:rsidR="002A0220" w:rsidRPr="0044409D" w:rsidRDefault="002A0220" w:rsidP="002A0220">
      <w:pPr>
        <w:pStyle w:val="a5"/>
        <w:jc w:val="both"/>
        <w:rPr>
          <w:color w:val="000000"/>
          <w:lang w:val="uk-UA"/>
        </w:rPr>
      </w:pPr>
      <w:r w:rsidRPr="00F92690">
        <w:rPr>
          <w:color w:val="000000"/>
          <w:lang w:val="uk-UA"/>
        </w:rPr>
        <w:t xml:space="preserve">3.1. Учасник в складі тендерної пропозиції також надає: 1) Інформацію в довільній формі про те, що учасник процедури закупівлі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2) Гарантійний лист про відсутність санкцій </w:t>
      </w:r>
      <w:r w:rsidR="008F27D4">
        <w:rPr>
          <w:color w:val="000000"/>
          <w:lang w:val="uk-UA"/>
        </w:rPr>
        <w:t>–</w:t>
      </w:r>
      <w:r w:rsidRPr="00F92690">
        <w:rPr>
          <w:color w:val="000000"/>
          <w:lang w:val="uk-UA"/>
        </w:rPr>
        <w:t xml:space="preserve"> враховуючи</w:t>
      </w:r>
      <w:r w:rsidR="008F27D4">
        <w:rPr>
          <w:color w:val="000000"/>
          <w:lang w:val="en-US"/>
        </w:rPr>
        <w:t xml:space="preserve"> </w:t>
      </w:r>
      <w:r w:rsidRPr="00F92690">
        <w:rPr>
          <w:color w:val="000000"/>
          <w:lang w:val="uk-UA"/>
        </w:rPr>
        <w:t xml:space="preserve">вимоги Закону України «Про санкції» від 14.08.2014р. №1644 - VII, вимоги абз.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Рішення РНБО від 28 квітня 2017 року введене в дію Указом Президента України від 15.05.2017 № 133/2017 «Про застосування персональних спеціальних економічних та інших обмежувальних заходів (санкцій)», Рішення РНБО від 19.03.2019 року введене в дію Указом Президента України від 19.03.2019 №82/2019 «Про застосування, скасування та внесення змін до персональних спеціальних економічних та інших обмежувальних заходів (санкцій)», Рішення РНБО від 14.05.2020 року введене в дію Указом Президента України №184/2020 від 14.05.2020 «Про застосування, скасування та внесення змін до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w:t>
      </w:r>
      <w:r w:rsidRPr="00F92690">
        <w:rPr>
          <w:color w:val="000000"/>
          <w:lang w:val="uk-UA"/>
        </w:rPr>
        <w:lastRenderedPageBreak/>
        <w:t xml:space="preserve">року «Про виконання резолюції Ради Безпеки Організації Об'єднаних Націй від 20 липня 2015 року N 2231 щодо Спільного всеосяжного плану дій в частині персональних санкцій» тендерна пропозиція Учасника буде вважатися такою, що не відповідає умовам тендерної документації, якщо: -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 - цей Учасник є юридичною особою – резидентом Російської Федерації/Республіки Білорусь/Ісламської Республіки Іран (крім того, що проживає на території України на законних підставах) державної форми власності та/або юридичною особою, частка статутного капіталу якого перебуває у власності Російської Федерації/ Республіки Білорусь/Ісламської Республіки Іран; - цей Учасник здійснює продаж товарів, робіт та послуг походженням з Російської Федерації/ Республіки Білорусь/Ісламської Республіки Іран, крім випадків, коли заміщення таких предметів закупівлі іншими неможливе, що підтверджено Міністерством економічного розвитку і торгівлі. *Замовник не несе відповідальність у разі зазначення Учасником недостовірних даних, наданих на </w:t>
      </w:r>
      <w:r w:rsidRPr="0044409D">
        <w:rPr>
          <w:color w:val="000000"/>
          <w:lang w:val="uk-UA"/>
        </w:rPr>
        <w:t>підтвердження вищезазначеної інформації.</w:t>
      </w:r>
    </w:p>
    <w:p w14:paraId="27E4AEFB" w14:textId="77777777" w:rsidR="002A0220" w:rsidRPr="0044409D" w:rsidRDefault="002A0220" w:rsidP="002A0220">
      <w:pPr>
        <w:pStyle w:val="a5"/>
        <w:jc w:val="both"/>
        <w:rPr>
          <w:lang w:val="uk-UA"/>
        </w:rPr>
      </w:pPr>
      <w:r w:rsidRPr="0044409D">
        <w:rPr>
          <w:lang w:val="uk-UA"/>
        </w:rPr>
        <w:t xml:space="preserve"> 3) Інформація від Державної податкової служби України про відсутність або виключення Учасника процедури закупівлі у(з) переліку суб’єктів господарювання, які відповідають критеріям ризиковості платника податку.</w:t>
      </w:r>
    </w:p>
    <w:p w14:paraId="0B19A4EF" w14:textId="77777777" w:rsidR="003F2526" w:rsidRPr="00F92690" w:rsidRDefault="00C42BE9" w:rsidP="003F2526">
      <w:pPr>
        <w:pStyle w:val="a5"/>
        <w:jc w:val="both"/>
        <w:rPr>
          <w:color w:val="000000"/>
          <w:sz w:val="27"/>
          <w:szCs w:val="27"/>
          <w:lang w:val="uk-UA"/>
        </w:rPr>
      </w:pPr>
      <w:r w:rsidRPr="0044409D">
        <w:rPr>
          <w:lang w:val="uk-UA"/>
        </w:rPr>
        <w:t>4)</w:t>
      </w:r>
      <w:r w:rsidR="003F2526" w:rsidRPr="0044409D">
        <w:rPr>
          <w:lang w:val="uk-UA"/>
        </w:rPr>
        <w:t xml:space="preserve"> </w:t>
      </w:r>
      <w:r w:rsidR="003F2526" w:rsidRPr="0044409D">
        <w:rPr>
          <w:color w:val="000000"/>
          <w:lang w:val="uk-UA"/>
        </w:rPr>
        <w:t xml:space="preserve"> На підтвердження виконання вимог підпункту 8 пункту 2.2. глави 2 Постанови НКРЕКП від 27.12.2017 № 1469 «Про затвердження Ліцензійних умов провадження господарської діяльності з постачання електричної енергії споживачу», щодо забезпечення функціонування веб-сайту ліцензіата в мережі Інтернет, Учасник повинен надати підтвердження проходження сертифікації системи управління інформаційною безпекою діяльності з забезпечення функціонування веб-сайта ліцензіата вимогам ДСТУ ISO/ІЕС 27001:2023) «Інформаційна безпека, кібербезпека та захист конфіденційності. Системи керування інформаційною безпекою. Вимоги» (- оброблення даних, розміщення інформації на веб-вузлах і пов’язана з ними діяльність (ДКПП 63.11), у вигляді копії відповідного сертифікату, виданого на ім‘я учасника закупівлі, дійсного на момент подання пропозиції.</w:t>
      </w:r>
      <w:r w:rsidR="003F2526" w:rsidRPr="00F92690">
        <w:rPr>
          <w:color w:val="000000"/>
          <w:sz w:val="27"/>
          <w:szCs w:val="27"/>
          <w:lang w:val="uk-UA"/>
        </w:rPr>
        <w:t xml:space="preserve"> </w:t>
      </w:r>
    </w:p>
    <w:p w14:paraId="71D91ED1" w14:textId="77777777" w:rsidR="002A0220" w:rsidRPr="00F92690" w:rsidRDefault="00C42BE9" w:rsidP="002A0220">
      <w:pPr>
        <w:pStyle w:val="a5"/>
        <w:jc w:val="both"/>
        <w:rPr>
          <w:color w:val="000000"/>
          <w:lang w:val="uk-UA"/>
        </w:rPr>
      </w:pPr>
      <w:r w:rsidRPr="00F92690">
        <w:rPr>
          <w:color w:val="000000"/>
          <w:lang w:val="uk-UA"/>
        </w:rPr>
        <w:t>5</w:t>
      </w:r>
      <w:r w:rsidR="002A0220" w:rsidRPr="00F92690">
        <w:rPr>
          <w:color w:val="000000"/>
          <w:lang w:val="uk-UA"/>
        </w:rPr>
        <w:t xml:space="preserve">) Лист від НЕК «Укренерго» з підтвердженням реєстрації представника учасника на інформаційно-комунікаційній платформі Датахаб в якості користувача з відповідними повноваженнями постачальника (з 16.11.2023, роль «Постачальник» перейменовано в «СВБ»). 3.2. 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2297-VI. У всіх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3.3. Відповідальність за достовірність наданої інформації в своїй пропозиції несе учасник. 3.4. Замовник не несе відповідальність у разі зазначення Учасником недостовірних даних, наданих на підтвердження вищезазначеної інформації; 3.5. До ціни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w:t>
      </w:r>
      <w:r w:rsidR="002A0220" w:rsidRPr="00F92690">
        <w:rPr>
          <w:color w:val="000000"/>
          <w:lang w:val="uk-UA"/>
        </w:rPr>
        <w:lastRenderedPageBreak/>
        <w:t>пропозиції, замовником не відшкодовуються (в тому числі й у разі відміни торгів чи визнання торгів такими, що не відбулися). Якщо ціна пропозиції не включає будь-яких витрат учасника, про які зазначається в цій тендерній документації, такі витрати покладаються на учасника. Учасник визначає ціну пропозиції з урахуванням податків і зборів, що сплачуються або мають бути сплачені, а також витрат на страхування та інших витрат, визначених законодавством. 3.6. 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3.7. 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 закупівель і в наслідок яких порушено право чи законні інтереси такої особи. Оскарження дій Замовника здійснюється у порядку,</w:t>
      </w:r>
      <w:r w:rsidR="003A0286">
        <w:rPr>
          <w:color w:val="000000"/>
          <w:lang w:val="en-US"/>
        </w:rPr>
        <w:t xml:space="preserve"> </w:t>
      </w:r>
      <w:r w:rsidR="002A0220" w:rsidRPr="00F92690">
        <w:rPr>
          <w:color w:val="000000"/>
          <w:lang w:val="uk-UA"/>
        </w:rPr>
        <w:t>передбаченому Законом та Особливостями. 3.8. Відсутність будь-яких запитань або уточнень стосовно змісту та викладення вимог документації з боку Учасників процедури закупівлі, які отримали цю документацію, буде означати, що Учасники процедури закупівлі, що беруть участь в цих торгах, повністю усвідомлюють зміст цієї документації та вимоги даної документації. У разі виникнення в Учасників процедури закупівлі питань, що не висвітлені у документації, Уповноважена особа при їх практичному обговоренні з Учасниками процедури закупівлі та вирішенні керується чинним законодавством України. 3.9. Всі листи та довідки складені в довільній формі, повинні мати вихідний номер та дату складання документа.</w:t>
      </w:r>
    </w:p>
    <w:p w14:paraId="31802865" w14:textId="77777777" w:rsidR="002F0EFB" w:rsidRPr="00F92690" w:rsidRDefault="002F0EFB" w:rsidP="002F0EFB">
      <w:pPr>
        <w:pStyle w:val="a3"/>
        <w:widowControl w:val="0"/>
        <w:numPr>
          <w:ilvl w:val="0"/>
          <w:numId w:val="2"/>
        </w:numPr>
        <w:tabs>
          <w:tab w:val="left" w:pos="0"/>
        </w:tabs>
        <w:spacing w:after="0" w:line="240" w:lineRule="auto"/>
        <w:jc w:val="both"/>
        <w:rPr>
          <w:rFonts w:ascii="Times New Roman" w:eastAsia="Times New Roman" w:hAnsi="Times New Roman" w:cs="Times New Roman"/>
          <w:sz w:val="24"/>
          <w:szCs w:val="24"/>
          <w:lang w:val="uk-UA"/>
        </w:rPr>
      </w:pPr>
      <w:r w:rsidRPr="00F92690">
        <w:rPr>
          <w:rFonts w:ascii="Times New Roman" w:hAnsi="Times New Roman" w:cs="Times New Roman"/>
          <w:sz w:val="24"/>
          <w:szCs w:val="24"/>
          <w:lang w:val="uk-UA"/>
        </w:rPr>
        <w:t>Внести зміни до пункту 22 Додатку 8, а саме виключити  пункт 22 Додатку 8:</w:t>
      </w:r>
    </w:p>
    <w:p w14:paraId="1C9A76E5" w14:textId="77777777" w:rsidR="002A0220" w:rsidRPr="00F92690" w:rsidRDefault="002A0220" w:rsidP="002F0EFB">
      <w:pPr>
        <w:pStyle w:val="a7"/>
        <w:ind w:left="720"/>
        <w:jc w:val="both"/>
        <w:rPr>
          <w:rFonts w:ascii="Times New Roman" w:eastAsia="Times New Roman" w:hAnsi="Times New Roman" w:cs="Times New Roman"/>
          <w:color w:val="000000"/>
          <w:sz w:val="24"/>
          <w:szCs w:val="24"/>
          <w:lang w:eastAsia="ru-RU"/>
        </w:rPr>
      </w:pPr>
    </w:p>
    <w:p w14:paraId="6CCFFE9D" w14:textId="77777777" w:rsidR="002F0EFB" w:rsidRPr="00F92690" w:rsidRDefault="002F0EFB" w:rsidP="002F0EFB">
      <w:pPr>
        <w:pStyle w:val="a7"/>
        <w:ind w:left="720"/>
        <w:jc w:val="both"/>
        <w:rPr>
          <w:rFonts w:ascii="Times New Roman" w:eastAsia="Times New Roman" w:hAnsi="Times New Roman" w:cs="Times New Roman"/>
          <w:color w:val="000000"/>
          <w:sz w:val="24"/>
          <w:szCs w:val="24"/>
          <w:lang w:eastAsia="ru-RU"/>
        </w:rPr>
      </w:pPr>
    </w:p>
    <w:p w14:paraId="0267BB8F" w14:textId="77777777" w:rsidR="002F0EFB" w:rsidRPr="00F92690" w:rsidRDefault="002F0EFB" w:rsidP="002F0EFB">
      <w:pPr>
        <w:tabs>
          <w:tab w:val="left" w:pos="0"/>
          <w:tab w:val="left" w:pos="3369"/>
        </w:tabs>
        <w:spacing w:after="0" w:line="240" w:lineRule="auto"/>
        <w:ind w:left="-284"/>
        <w:rPr>
          <w:rFonts w:ascii="Times New Roman" w:hAnsi="Times New Roman" w:cs="Times New Roman"/>
          <w:b/>
          <w:sz w:val="24"/>
          <w:szCs w:val="24"/>
          <w:lang w:val="uk-UA"/>
        </w:rPr>
      </w:pPr>
      <w:r w:rsidRPr="00F92690">
        <w:rPr>
          <w:rFonts w:ascii="Times New Roman" w:hAnsi="Times New Roman" w:cs="Times New Roman"/>
          <w:b/>
          <w:sz w:val="24"/>
          <w:szCs w:val="24"/>
          <w:lang w:val="uk-UA"/>
        </w:rPr>
        <w:t>Стара редакція:</w:t>
      </w:r>
    </w:p>
    <w:p w14:paraId="60930D6D" w14:textId="77777777" w:rsidR="002F0EFB" w:rsidRPr="00F92690" w:rsidRDefault="002F0EFB" w:rsidP="002F0EFB">
      <w:pPr>
        <w:tabs>
          <w:tab w:val="left" w:pos="0"/>
          <w:tab w:val="left" w:pos="3369"/>
        </w:tabs>
        <w:spacing w:after="0" w:line="240" w:lineRule="auto"/>
        <w:ind w:left="-284"/>
        <w:rPr>
          <w:rFonts w:ascii="Times New Roman" w:hAnsi="Times New Roman" w:cs="Times New Roman"/>
          <w:b/>
          <w:sz w:val="24"/>
          <w:szCs w:val="24"/>
          <w:lang w:val="uk-UA"/>
        </w:rPr>
      </w:pPr>
    </w:p>
    <w:p w14:paraId="0476FC73" w14:textId="77777777" w:rsidR="002F0EFB" w:rsidRPr="005F4D99" w:rsidRDefault="002F0EFB" w:rsidP="002F0EFB">
      <w:pPr>
        <w:pStyle w:val="a5"/>
        <w:jc w:val="both"/>
        <w:rPr>
          <w:rFonts w:eastAsia="Calibri"/>
          <w:strike/>
          <w:lang w:val="uk-UA" w:eastAsia="uk-UA"/>
        </w:rPr>
      </w:pPr>
      <w:r w:rsidRPr="005F4D99">
        <w:rPr>
          <w:rFonts w:eastAsia="Calibri"/>
          <w:strike/>
          <w:lang w:val="uk-UA" w:eastAsia="uk-UA"/>
        </w:rPr>
        <w:t>22. На підтвердження дотримання вимог нормативно-правових актів, що регулюють функціонування ринку електричної енергії, та відсутності порушень Ліцензійних умов з</w:t>
      </w:r>
    </w:p>
    <w:p w14:paraId="63BF76D5" w14:textId="77777777" w:rsidR="002F0EFB" w:rsidRPr="005F4D99" w:rsidRDefault="002F0EFB" w:rsidP="002F0EFB">
      <w:pPr>
        <w:pStyle w:val="a5"/>
        <w:jc w:val="both"/>
        <w:rPr>
          <w:rFonts w:eastAsia="Calibri"/>
          <w:strike/>
          <w:lang w:val="uk-UA" w:eastAsia="uk-UA"/>
        </w:rPr>
      </w:pPr>
      <w:r w:rsidRPr="005F4D99">
        <w:rPr>
          <w:rFonts w:eastAsia="Calibri"/>
          <w:strike/>
          <w:lang w:val="uk-UA" w:eastAsia="uk-UA"/>
        </w:rPr>
        <w:t>постачання електричної енергії споживачу, учасник надає довідку, згідно з формою наведеною нижче, щодо дотримання ним вимог нормативно-правових актів, що регулюють функціонування ринку електричної енергії, та відсутності порушень Ліцензійних умов провадження господарської діяльності з постачання електричної енергії споживачу, затверджених постановою НКРЕКП від 27 грудня 2017 року № 1469.</w:t>
      </w:r>
    </w:p>
    <w:p w14:paraId="433EA5EA" w14:textId="77777777" w:rsidR="002F0EFB" w:rsidRPr="005F4D99" w:rsidRDefault="002F0EFB" w:rsidP="002F0EFB">
      <w:pPr>
        <w:pStyle w:val="a5"/>
        <w:jc w:val="both"/>
        <w:rPr>
          <w:rFonts w:eastAsia="Calibri"/>
          <w:strike/>
          <w:lang w:val="uk-UA" w:eastAsia="uk-UA"/>
        </w:rPr>
      </w:pPr>
      <w:r w:rsidRPr="005F4D99">
        <w:rPr>
          <w:rFonts w:eastAsia="Calibri"/>
          <w:strike/>
          <w:lang w:val="uk-UA" w:eastAsia="uk-UA"/>
        </w:rPr>
        <w:t>Форма довідки</w:t>
      </w:r>
    </w:p>
    <w:p w14:paraId="556FE85C" w14:textId="77777777" w:rsidR="002F0EFB" w:rsidRPr="005F4D99" w:rsidRDefault="002F0EFB" w:rsidP="002F0EFB">
      <w:pPr>
        <w:pStyle w:val="a5"/>
        <w:jc w:val="both"/>
        <w:rPr>
          <w:rFonts w:eastAsia="Calibri"/>
          <w:strike/>
          <w:lang w:val="uk-UA" w:eastAsia="uk-UA"/>
        </w:rPr>
      </w:pPr>
      <w:r w:rsidRPr="005F4D99">
        <w:rPr>
          <w:rFonts w:eastAsia="Calibri"/>
          <w:strike/>
          <w:lang w:val="uk-UA" w:eastAsia="uk-UA"/>
        </w:rPr>
        <w:t>підтвердження дотримання вимог нормативно-правових актів, що регулюють функціонування ринку електричної енергії, та відсутності порушень Ліцензійних умов провадження Учасником господарської діяльності з постачання електричної енергії</w:t>
      </w:r>
    </w:p>
    <w:p w14:paraId="4131EFE8" w14:textId="77777777" w:rsidR="002F0EFB" w:rsidRPr="005F4D99" w:rsidRDefault="002F0EFB" w:rsidP="002F0EFB">
      <w:pPr>
        <w:pStyle w:val="a5"/>
        <w:jc w:val="both"/>
        <w:rPr>
          <w:rFonts w:eastAsia="Calibri"/>
          <w:strike/>
          <w:lang w:val="uk-UA" w:eastAsia="uk-UA"/>
        </w:rPr>
      </w:pPr>
      <w:r w:rsidRPr="005F4D99">
        <w:rPr>
          <w:rFonts w:eastAsia="Calibri"/>
          <w:strike/>
          <w:lang w:val="uk-UA" w:eastAsia="uk-UA"/>
        </w:rPr>
        <w:t xml:space="preserve">Ми, (назва Учасника)_____________________________________________, даною довідкою підтверджуємо, що з моменту отримання ліцензії, при провадженні господарської діяльності з постачання електричної енергії, дотримуємося вимог нормативно-правових актів, що регулюють функціонування ринку електричної енергії, у нас відсутні порушення Ліцензійних умов провадження господарської діяльності з постачання електричної енергії, також ми підтверджуємо, що проти нас не застосовувалися, з боку Національної комісії, що здійснює державне регулювання у сферах енергетики та комунальних послуг, застереження щодо недопущення надалі недотримання вимог нормативно-правових актів, що регулюють </w:t>
      </w:r>
      <w:r w:rsidRPr="005F4D99">
        <w:rPr>
          <w:rFonts w:eastAsia="Calibri"/>
          <w:strike/>
          <w:lang w:val="uk-UA" w:eastAsia="uk-UA"/>
        </w:rPr>
        <w:lastRenderedPageBreak/>
        <w:t>функціонування ринку електричної енергії, та порушень Ліцензійних умов з постачання електричної енергії споживачу та/або штрафи та/або призупинення ліцензії.</w:t>
      </w:r>
    </w:p>
    <w:p w14:paraId="33CD72FF" w14:textId="77777777" w:rsidR="002F0EFB" w:rsidRPr="005F4D99" w:rsidRDefault="002F0EFB" w:rsidP="002F0EFB">
      <w:pPr>
        <w:pStyle w:val="a5"/>
        <w:rPr>
          <w:rFonts w:eastAsia="Calibri"/>
          <w:strike/>
          <w:lang w:val="uk-UA" w:eastAsia="uk-UA"/>
        </w:rPr>
      </w:pPr>
      <w:r w:rsidRPr="005F4D99">
        <w:rPr>
          <w:rFonts w:eastAsia="Calibri"/>
          <w:strike/>
          <w:lang w:val="uk-UA" w:eastAsia="uk-UA"/>
        </w:rPr>
        <w:t>_________________ _________________________ ___________________</w:t>
      </w:r>
    </w:p>
    <w:p w14:paraId="6BC160B3" w14:textId="77777777" w:rsidR="002F0EFB" w:rsidRPr="005F4D99" w:rsidRDefault="002F0EFB" w:rsidP="002F0EFB">
      <w:pPr>
        <w:pStyle w:val="a5"/>
        <w:rPr>
          <w:rFonts w:eastAsia="Calibri"/>
          <w:strike/>
          <w:lang w:val="uk-UA" w:eastAsia="uk-UA"/>
        </w:rPr>
      </w:pPr>
      <w:r w:rsidRPr="005F4D99">
        <w:rPr>
          <w:rFonts w:eastAsia="Calibri"/>
          <w:strike/>
          <w:lang w:val="uk-UA" w:eastAsia="uk-UA"/>
        </w:rPr>
        <w:t>Посада, і’мя, прізвище, підпис уповноваженої особи Учасника, завірені печаткою (при наявності)</w:t>
      </w:r>
    </w:p>
    <w:p w14:paraId="74A7987A" w14:textId="77777777" w:rsidR="002F0EFB" w:rsidRPr="005F4D99" w:rsidRDefault="002F0EFB" w:rsidP="002F0EFB">
      <w:pPr>
        <w:pStyle w:val="a5"/>
        <w:rPr>
          <w:rFonts w:eastAsia="Calibri"/>
          <w:strike/>
          <w:lang w:val="uk-UA" w:eastAsia="uk-UA"/>
        </w:rPr>
      </w:pPr>
      <w:r w:rsidRPr="005F4D99">
        <w:rPr>
          <w:rFonts w:eastAsia="Calibri"/>
          <w:strike/>
          <w:lang w:val="uk-UA" w:eastAsia="uk-UA"/>
        </w:rPr>
        <w:t>«_____» _______________ 2024 р.</w:t>
      </w:r>
    </w:p>
    <w:p w14:paraId="5C917E6C" w14:textId="77777777" w:rsidR="00F92690" w:rsidRDefault="00F92690" w:rsidP="00F92690">
      <w:pPr>
        <w:tabs>
          <w:tab w:val="left" w:pos="0"/>
          <w:tab w:val="left" w:pos="3369"/>
        </w:tabs>
        <w:spacing w:after="0" w:line="240" w:lineRule="auto"/>
        <w:ind w:left="-284"/>
        <w:rPr>
          <w:rFonts w:ascii="Times New Roman" w:hAnsi="Times New Roman" w:cs="Times New Roman"/>
          <w:b/>
          <w:sz w:val="24"/>
          <w:szCs w:val="24"/>
          <w:lang w:val="uk-UA"/>
        </w:rPr>
      </w:pPr>
      <w:r w:rsidRPr="00F92690">
        <w:rPr>
          <w:rFonts w:ascii="Times New Roman" w:hAnsi="Times New Roman" w:cs="Times New Roman"/>
          <w:b/>
          <w:sz w:val="24"/>
          <w:szCs w:val="24"/>
          <w:lang w:val="uk-UA"/>
        </w:rPr>
        <w:t>Нова редакція:</w:t>
      </w:r>
    </w:p>
    <w:p w14:paraId="54ABEA0C" w14:textId="77777777" w:rsidR="00F92690" w:rsidRDefault="00F92690" w:rsidP="00F92690">
      <w:pPr>
        <w:tabs>
          <w:tab w:val="left" w:pos="0"/>
          <w:tab w:val="left" w:pos="3369"/>
        </w:tabs>
        <w:spacing w:after="0" w:line="240" w:lineRule="auto"/>
        <w:ind w:left="-284"/>
        <w:rPr>
          <w:rFonts w:ascii="Times New Roman" w:hAnsi="Times New Roman" w:cs="Times New Roman"/>
          <w:b/>
          <w:sz w:val="24"/>
          <w:szCs w:val="24"/>
          <w:lang w:val="uk-UA"/>
        </w:rPr>
      </w:pPr>
    </w:p>
    <w:p w14:paraId="623EAF04" w14:textId="77777777" w:rsidR="00F92690" w:rsidRPr="005F4D99" w:rsidRDefault="00F92690" w:rsidP="00F92690">
      <w:pPr>
        <w:tabs>
          <w:tab w:val="left" w:pos="0"/>
          <w:tab w:val="left" w:pos="3369"/>
        </w:tabs>
        <w:spacing w:after="0" w:line="240" w:lineRule="auto"/>
        <w:ind w:left="-284"/>
        <w:rPr>
          <w:rFonts w:ascii="Times New Roman" w:hAnsi="Times New Roman" w:cs="Times New Roman"/>
          <w:sz w:val="24"/>
          <w:szCs w:val="24"/>
          <w:lang w:val="uk-UA"/>
        </w:rPr>
      </w:pPr>
      <w:r w:rsidRPr="005F4D99">
        <w:rPr>
          <w:rFonts w:ascii="Times New Roman" w:hAnsi="Times New Roman" w:cs="Times New Roman"/>
          <w:sz w:val="24"/>
          <w:szCs w:val="24"/>
          <w:lang w:val="uk-UA"/>
        </w:rPr>
        <w:t>Виключено.</w:t>
      </w:r>
    </w:p>
    <w:p w14:paraId="19CD126F" w14:textId="77777777" w:rsidR="002F0EFB" w:rsidRPr="00F92690" w:rsidRDefault="002F0EFB" w:rsidP="002A0220">
      <w:pPr>
        <w:pStyle w:val="a7"/>
        <w:jc w:val="both"/>
        <w:rPr>
          <w:rFonts w:ascii="Times New Roman" w:hAnsi="Times New Roman" w:cs="Times New Roman"/>
          <w:strike/>
          <w:sz w:val="24"/>
          <w:szCs w:val="24"/>
        </w:rPr>
      </w:pPr>
    </w:p>
    <w:p w14:paraId="6B48E7F7" w14:textId="77777777" w:rsidR="00D4624B" w:rsidRPr="00F92690" w:rsidRDefault="00D4624B" w:rsidP="00BB3DC2">
      <w:pPr>
        <w:pStyle w:val="a3"/>
        <w:numPr>
          <w:ilvl w:val="0"/>
          <w:numId w:val="2"/>
        </w:numPr>
        <w:spacing w:after="0" w:line="240" w:lineRule="auto"/>
        <w:ind w:left="0" w:firstLine="0"/>
        <w:rPr>
          <w:rFonts w:ascii="Times New Roman" w:hAnsi="Times New Roman" w:cs="Times New Roman"/>
          <w:sz w:val="24"/>
          <w:szCs w:val="24"/>
          <w:lang w:val="uk-UA"/>
        </w:rPr>
      </w:pPr>
      <w:r w:rsidRPr="00F92690">
        <w:rPr>
          <w:rFonts w:ascii="Times New Roman" w:hAnsi="Times New Roman" w:cs="Times New Roman"/>
          <w:sz w:val="24"/>
          <w:szCs w:val="24"/>
          <w:lang w:val="uk-UA"/>
        </w:rPr>
        <w:t>Усі інші строки та вимоги залишаються без змін.</w:t>
      </w:r>
    </w:p>
    <w:p w14:paraId="66F7DF0C" w14:textId="77777777" w:rsidR="00737345" w:rsidRPr="00F92690" w:rsidRDefault="00737345" w:rsidP="00BB3DC2">
      <w:pPr>
        <w:spacing w:after="0" w:line="240" w:lineRule="auto"/>
        <w:rPr>
          <w:rFonts w:ascii="Times New Roman" w:hAnsi="Times New Roman" w:cs="Times New Roman"/>
          <w:sz w:val="24"/>
          <w:szCs w:val="24"/>
          <w:lang w:val="uk-UA"/>
        </w:rPr>
      </w:pPr>
    </w:p>
    <w:sectPr w:rsidR="00737345" w:rsidRPr="00F92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47A5"/>
    <w:multiLevelType w:val="hybridMultilevel"/>
    <w:tmpl w:val="B832CAE6"/>
    <w:lvl w:ilvl="0" w:tplc="4B6CE578">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CFC2425"/>
    <w:multiLevelType w:val="hybridMultilevel"/>
    <w:tmpl w:val="B2585F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7C019A"/>
    <w:multiLevelType w:val="hybridMultilevel"/>
    <w:tmpl w:val="8F3EBED0"/>
    <w:lvl w:ilvl="0" w:tplc="A8CAF3F4">
      <w:start w:val="1"/>
      <w:numFmt w:val="decimal"/>
      <w:lvlText w:val="%1."/>
      <w:lvlJc w:val="left"/>
      <w:pPr>
        <w:ind w:left="720" w:hanging="360"/>
      </w:pPr>
      <w:rPr>
        <w:rFonts w:ascii="Times New Roman" w:eastAsiaTheme="minorHAnsi"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890B5E"/>
    <w:multiLevelType w:val="hybridMultilevel"/>
    <w:tmpl w:val="BD1663FE"/>
    <w:lvl w:ilvl="0" w:tplc="CC7684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BB006B"/>
    <w:multiLevelType w:val="multilevel"/>
    <w:tmpl w:val="71621CE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786"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6CC0497E"/>
    <w:multiLevelType w:val="hybridMultilevel"/>
    <w:tmpl w:val="645CA6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E243852"/>
    <w:multiLevelType w:val="hybridMultilevel"/>
    <w:tmpl w:val="BD1663FE"/>
    <w:lvl w:ilvl="0" w:tplc="CC7684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76078210">
    <w:abstractNumId w:val="4"/>
  </w:num>
  <w:num w:numId="2" w16cid:durableId="1984654169">
    <w:abstractNumId w:val="2"/>
  </w:num>
  <w:num w:numId="3" w16cid:durableId="2071659132">
    <w:abstractNumId w:val="1"/>
  </w:num>
  <w:num w:numId="4" w16cid:durableId="908072269">
    <w:abstractNumId w:val="5"/>
  </w:num>
  <w:num w:numId="5" w16cid:durableId="1680815873">
    <w:abstractNumId w:val="0"/>
  </w:num>
  <w:num w:numId="6" w16cid:durableId="1540431084">
    <w:abstractNumId w:val="3"/>
  </w:num>
  <w:num w:numId="7" w16cid:durableId="8460153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99"/>
    <w:rsid w:val="00017C74"/>
    <w:rsid w:val="000A1A22"/>
    <w:rsid w:val="000C59BE"/>
    <w:rsid w:val="001374A0"/>
    <w:rsid w:val="00151DE0"/>
    <w:rsid w:val="00180099"/>
    <w:rsid w:val="001A2B3C"/>
    <w:rsid w:val="00232AEA"/>
    <w:rsid w:val="002412C7"/>
    <w:rsid w:val="00284419"/>
    <w:rsid w:val="002A0220"/>
    <w:rsid w:val="002A2D6A"/>
    <w:rsid w:val="002F0EFB"/>
    <w:rsid w:val="00357682"/>
    <w:rsid w:val="003A0286"/>
    <w:rsid w:val="003F2526"/>
    <w:rsid w:val="0044409D"/>
    <w:rsid w:val="004A1082"/>
    <w:rsid w:val="00521E49"/>
    <w:rsid w:val="00527E6C"/>
    <w:rsid w:val="0055648D"/>
    <w:rsid w:val="005F4D99"/>
    <w:rsid w:val="00621874"/>
    <w:rsid w:val="006259FC"/>
    <w:rsid w:val="00631268"/>
    <w:rsid w:val="007050D3"/>
    <w:rsid w:val="00737345"/>
    <w:rsid w:val="007733EF"/>
    <w:rsid w:val="007B6E81"/>
    <w:rsid w:val="007C2222"/>
    <w:rsid w:val="007F3AF7"/>
    <w:rsid w:val="008011E7"/>
    <w:rsid w:val="0085382C"/>
    <w:rsid w:val="008664AF"/>
    <w:rsid w:val="008D04F4"/>
    <w:rsid w:val="008F27D4"/>
    <w:rsid w:val="009C15A2"/>
    <w:rsid w:val="009F6F1A"/>
    <w:rsid w:val="00A243A0"/>
    <w:rsid w:val="00AD1260"/>
    <w:rsid w:val="00B2365F"/>
    <w:rsid w:val="00B41376"/>
    <w:rsid w:val="00BB3DC2"/>
    <w:rsid w:val="00C42BE9"/>
    <w:rsid w:val="00CD0516"/>
    <w:rsid w:val="00CE171D"/>
    <w:rsid w:val="00D4624B"/>
    <w:rsid w:val="00DD680A"/>
    <w:rsid w:val="00E50624"/>
    <w:rsid w:val="00E74D9C"/>
    <w:rsid w:val="00E763CA"/>
    <w:rsid w:val="00EE53DE"/>
    <w:rsid w:val="00F92690"/>
    <w:rsid w:val="00FA4D34"/>
    <w:rsid w:val="00FA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9D2C"/>
  <w15:docId w15:val="{DC44BC24-443E-48AB-BF2C-F64CD336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690"/>
  </w:style>
  <w:style w:type="paragraph" w:styleId="6">
    <w:name w:val="heading 6"/>
    <w:basedOn w:val="a"/>
    <w:next w:val="a"/>
    <w:link w:val="60"/>
    <w:uiPriority w:val="9"/>
    <w:unhideWhenUsed/>
    <w:qFormat/>
    <w:rsid w:val="007C2222"/>
    <w:pPr>
      <w:keepNext/>
      <w:keepLines/>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DD680A"/>
  </w:style>
  <w:style w:type="paragraph" w:styleId="a3">
    <w:name w:val="List Paragraph"/>
    <w:aliases w:val="AC List 01,Список уровня 2,название табл/рис,заголовок 1.1,Абзац списка5,EBRD List,CA bullets,Details,Заголовок 1.1"/>
    <w:basedOn w:val="a"/>
    <w:link w:val="a4"/>
    <w:uiPriority w:val="34"/>
    <w:qFormat/>
    <w:rsid w:val="008011E7"/>
    <w:pPr>
      <w:spacing w:after="160" w:line="259" w:lineRule="auto"/>
      <w:ind w:left="720"/>
      <w:contextualSpacing/>
    </w:p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Обычный (Web),Знак17,Знак18 Знак,З"/>
    <w:basedOn w:val="a"/>
    <w:link w:val="a6"/>
    <w:uiPriority w:val="99"/>
    <w:unhideWhenUsed/>
    <w:qFormat/>
    <w:rsid w:val="00D46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D4624B"/>
    <w:rPr>
      <w:rFonts w:ascii="Times New Roman" w:eastAsia="Times New Roman" w:hAnsi="Times New Roman" w:cs="Times New Roman"/>
      <w:sz w:val="24"/>
      <w:szCs w:val="24"/>
      <w:lang w:eastAsia="ru-RU"/>
    </w:rPr>
  </w:style>
  <w:style w:type="paragraph" w:customStyle="1" w:styleId="2">
    <w:name w:val="Обычный2"/>
    <w:qFormat/>
    <w:rsid w:val="00D4624B"/>
    <w:pPr>
      <w:widowControl w:val="0"/>
      <w:spacing w:after="0" w:line="240" w:lineRule="auto"/>
    </w:pPr>
    <w:rPr>
      <w:rFonts w:ascii="Arial" w:eastAsia="Arial" w:hAnsi="Arial" w:cs="Arial"/>
      <w:sz w:val="24"/>
      <w:szCs w:val="24"/>
      <w:lang w:val="uk-UA" w:eastAsia="ru-RU"/>
    </w:rPr>
  </w:style>
  <w:style w:type="character" w:customStyle="1" w:styleId="60">
    <w:name w:val="Заголовок 6 Знак"/>
    <w:basedOn w:val="a0"/>
    <w:link w:val="6"/>
    <w:uiPriority w:val="9"/>
    <w:rsid w:val="007C2222"/>
    <w:rPr>
      <w:rFonts w:ascii="Calibri" w:eastAsia="Calibri" w:hAnsi="Calibri" w:cs="Calibri"/>
      <w:b/>
      <w:sz w:val="20"/>
      <w:szCs w:val="20"/>
      <w:lang w:val="uk-UA" w:eastAsia="uk-UA"/>
    </w:rPr>
  </w:style>
  <w:style w:type="character" w:customStyle="1" w:styleId="a4">
    <w:name w:val="Абзац списку Знак"/>
    <w:aliases w:val="AC List 01 Знак,Список уровня 2 Знак,название табл/рис Знак,заголовок 1.1 Знак,Абзац списка5 Знак,EBRD List Знак,CA bullets Знак,Details Знак,Заголовок 1.1 Знак"/>
    <w:link w:val="a3"/>
    <w:uiPriority w:val="34"/>
    <w:locked/>
    <w:rsid w:val="00232AEA"/>
  </w:style>
  <w:style w:type="paragraph" w:styleId="a7">
    <w:name w:val="No Spacing"/>
    <w:link w:val="a8"/>
    <w:uiPriority w:val="1"/>
    <w:qFormat/>
    <w:rsid w:val="00E763CA"/>
    <w:pPr>
      <w:spacing w:after="0" w:line="240" w:lineRule="auto"/>
    </w:pPr>
    <w:rPr>
      <w:rFonts w:ascii="Calibri" w:eastAsia="Calibri" w:hAnsi="Calibri" w:cs="Calibri"/>
      <w:lang w:val="uk-UA" w:eastAsia="uk-UA"/>
    </w:rPr>
  </w:style>
  <w:style w:type="character" w:customStyle="1" w:styleId="a8">
    <w:name w:val="Без інтервалів Знак"/>
    <w:link w:val="a7"/>
    <w:uiPriority w:val="1"/>
    <w:locked/>
    <w:rsid w:val="00EE53DE"/>
    <w:rPr>
      <w:rFonts w:ascii="Calibri" w:eastAsia="Calibri" w:hAnsi="Calibri" w:cs="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394968">
      <w:bodyDiv w:val="1"/>
      <w:marLeft w:val="0"/>
      <w:marRight w:val="0"/>
      <w:marTop w:val="0"/>
      <w:marBottom w:val="0"/>
      <w:divBdr>
        <w:top w:val="none" w:sz="0" w:space="0" w:color="auto"/>
        <w:left w:val="none" w:sz="0" w:space="0" w:color="auto"/>
        <w:bottom w:val="none" w:sz="0" w:space="0" w:color="auto"/>
        <w:right w:val="none" w:sz="0" w:space="0" w:color="auto"/>
      </w:divBdr>
    </w:div>
    <w:div w:id="174294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14163</Words>
  <Characters>8073</Characters>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2023-09-12T12:26:00Z</cp:lastPrinted>
  <dcterms:created xsi:type="dcterms:W3CDTF">2024-04-10T09:44:00Z</dcterms:created>
  <dcterms:modified xsi:type="dcterms:W3CDTF">2024-04-19T07:29:00Z</dcterms:modified>
</cp:coreProperties>
</file>