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CAE5D" w14:textId="77777777" w:rsidR="003C159A" w:rsidRDefault="003C159A" w:rsidP="0022430B">
      <w:pPr>
        <w:jc w:val="center"/>
        <w:textAlignment w:val="top"/>
        <w:rPr>
          <w:rFonts w:eastAsia="Times New Roman"/>
          <w:b/>
        </w:rPr>
      </w:pPr>
    </w:p>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6804"/>
      </w:tblGrid>
      <w:tr w:rsidR="007E003B" w:rsidRPr="007E003B" w14:paraId="35C185FE" w14:textId="77777777" w:rsidTr="000E0563">
        <w:tc>
          <w:tcPr>
            <w:tcW w:w="3147" w:type="dxa"/>
            <w:vAlign w:val="center"/>
            <w:hideMark/>
          </w:tcPr>
          <w:p w14:paraId="2135E934" w14:textId="77777777" w:rsidR="00EB3C09" w:rsidRPr="007E003B" w:rsidRDefault="00EB3C09" w:rsidP="000E0563">
            <w:pPr>
              <w:textAlignment w:val="top"/>
              <w:rPr>
                <w:rFonts w:eastAsia="Times New Roman"/>
                <w:bCs/>
              </w:rPr>
            </w:pPr>
            <w:r w:rsidRPr="007E003B">
              <w:rPr>
                <w:rFonts w:eastAsia="Times New Roman"/>
                <w:bCs/>
              </w:rPr>
              <w:t>1. Найменування замовника:</w:t>
            </w:r>
          </w:p>
        </w:tc>
        <w:tc>
          <w:tcPr>
            <w:tcW w:w="6804" w:type="dxa"/>
            <w:vAlign w:val="center"/>
          </w:tcPr>
          <w:p w14:paraId="2C4031C1" w14:textId="76D34581" w:rsidR="00EB3C09" w:rsidRPr="007E003B" w:rsidRDefault="008D14BE" w:rsidP="000E0563">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CE4DEB" w:rsidRPr="00CE4DEB" w14:paraId="724D8749" w14:textId="77777777" w:rsidTr="000E0563">
        <w:tc>
          <w:tcPr>
            <w:tcW w:w="3147" w:type="dxa"/>
            <w:vAlign w:val="center"/>
            <w:hideMark/>
          </w:tcPr>
          <w:p w14:paraId="5C3E22AF" w14:textId="77777777" w:rsidR="00EB3C09" w:rsidRPr="00CE4DEB" w:rsidRDefault="00EB3C09" w:rsidP="000E0563">
            <w:pPr>
              <w:textAlignment w:val="top"/>
              <w:rPr>
                <w:rFonts w:eastAsia="Times New Roman"/>
                <w:bCs/>
              </w:rPr>
            </w:pPr>
            <w:r w:rsidRPr="00CE4DEB">
              <w:rPr>
                <w:rFonts w:eastAsia="Times New Roman"/>
                <w:bCs/>
              </w:rPr>
              <w:t>1</w:t>
            </w:r>
            <w:r w:rsidRPr="00CE4DEB">
              <w:rPr>
                <w:rFonts w:eastAsia="Times New Roman"/>
                <w:bCs/>
                <w:vertAlign w:val="superscript"/>
              </w:rPr>
              <w:t>1</w:t>
            </w:r>
            <w:r w:rsidRPr="00CE4DEB">
              <w:rPr>
                <w:rFonts w:eastAsia="Times New Roman"/>
                <w:bCs/>
              </w:rPr>
              <w:t>. Місцезнаходження замовника:</w:t>
            </w:r>
          </w:p>
        </w:tc>
        <w:tc>
          <w:tcPr>
            <w:tcW w:w="6804" w:type="dxa"/>
            <w:vAlign w:val="center"/>
          </w:tcPr>
          <w:p w14:paraId="56C5835E" w14:textId="2F588E6C" w:rsidR="00EB3C09" w:rsidRPr="00CE4DEB" w:rsidRDefault="008D14BE" w:rsidP="000E0563">
            <w:pPr>
              <w:tabs>
                <w:tab w:val="left" w:pos="2160"/>
                <w:tab w:val="left" w:pos="3600"/>
              </w:tabs>
              <w:jc w:val="both"/>
              <w:rPr>
                <w:bCs/>
              </w:rPr>
            </w:pPr>
            <w:r w:rsidRPr="00CE4DEB">
              <w:rPr>
                <w:b/>
              </w:rPr>
              <w:t>Україна, 21029, м. Вінниця, Хмельницьке шосе, 84</w:t>
            </w:r>
          </w:p>
        </w:tc>
      </w:tr>
      <w:tr w:rsidR="00CE4DEB" w:rsidRPr="00CE4DEB" w14:paraId="4EE48718" w14:textId="77777777" w:rsidTr="000E0563">
        <w:tc>
          <w:tcPr>
            <w:tcW w:w="3147" w:type="dxa"/>
            <w:vAlign w:val="center"/>
            <w:hideMark/>
          </w:tcPr>
          <w:p w14:paraId="234BE911"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2</w:t>
            </w:r>
            <w:r w:rsidRPr="00CE4DEB">
              <w:rPr>
                <w:rFonts w:eastAsia="Times New Roman"/>
                <w:bCs/>
              </w:rPr>
              <w:t>. Код згідно з ЄДРПОУ замовника:</w:t>
            </w:r>
          </w:p>
        </w:tc>
        <w:tc>
          <w:tcPr>
            <w:tcW w:w="6804" w:type="dxa"/>
            <w:vAlign w:val="center"/>
          </w:tcPr>
          <w:p w14:paraId="3238FA3B" w14:textId="0EF1C860" w:rsidR="00A96B26" w:rsidRPr="00CE4DEB" w:rsidRDefault="008D14BE" w:rsidP="000E0563">
            <w:pPr>
              <w:rPr>
                <w:rFonts w:eastAsia="Times New Roman"/>
                <w:lang w:eastAsia="ru-RU"/>
              </w:rPr>
            </w:pPr>
            <w:r w:rsidRPr="00CE4DEB">
              <w:rPr>
                <w:b/>
              </w:rPr>
              <w:t>05484161</w:t>
            </w:r>
          </w:p>
        </w:tc>
      </w:tr>
      <w:tr w:rsidR="00CE4DEB" w:rsidRPr="00CE4DEB" w14:paraId="0A187650" w14:textId="77777777" w:rsidTr="000E0563">
        <w:tc>
          <w:tcPr>
            <w:tcW w:w="3147" w:type="dxa"/>
            <w:vAlign w:val="center"/>
            <w:hideMark/>
          </w:tcPr>
          <w:p w14:paraId="301F7F82"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3</w:t>
            </w:r>
            <w:r w:rsidRPr="00CE4DEB">
              <w:rPr>
                <w:rFonts w:eastAsia="Times New Roman"/>
                <w:bCs/>
              </w:rPr>
              <w:t>. Категорія замовника:</w:t>
            </w:r>
          </w:p>
        </w:tc>
        <w:tc>
          <w:tcPr>
            <w:tcW w:w="6804" w:type="dxa"/>
            <w:vAlign w:val="center"/>
          </w:tcPr>
          <w:p w14:paraId="436B6542" w14:textId="3043A7E6" w:rsidR="00A96B26" w:rsidRPr="00CE4DEB" w:rsidRDefault="008D14BE" w:rsidP="000E0563">
            <w:pPr>
              <w:pStyle w:val="rvps2"/>
              <w:shd w:val="clear" w:color="auto" w:fill="FFFFFF"/>
              <w:spacing w:before="0" w:beforeAutospacing="0" w:after="0" w:afterAutospacing="0"/>
              <w:jc w:val="both"/>
              <w:textAlignment w:val="baseline"/>
              <w:rPr>
                <w:lang w:val="uk-UA"/>
              </w:rPr>
            </w:pPr>
            <w:r w:rsidRPr="00CE4DEB">
              <w:rPr>
                <w:b/>
                <w:lang w:val="uk-UA"/>
              </w:rPr>
              <w:t>Підприємства, установи, організації, зазначені у пункті 3 частини першої статті 2 Закону України «Про публічні закупівлі»</w:t>
            </w:r>
            <w:r w:rsidRPr="00CE4DEB">
              <w:rPr>
                <w:b/>
                <w:shd w:val="clear" w:color="auto" w:fill="FFFFFF"/>
                <w:lang w:val="uk-UA"/>
              </w:rPr>
              <w:t>.</w:t>
            </w:r>
          </w:p>
        </w:tc>
      </w:tr>
      <w:tr w:rsidR="00CE4DEB" w:rsidRPr="00CE4DEB" w14:paraId="0B4D01F6" w14:textId="77777777" w:rsidTr="000E0563">
        <w:tc>
          <w:tcPr>
            <w:tcW w:w="3147" w:type="dxa"/>
            <w:vAlign w:val="center"/>
            <w:hideMark/>
          </w:tcPr>
          <w:p w14:paraId="677F8CAA" w14:textId="6EC83EBD" w:rsidR="006A2878" w:rsidRPr="00CE4DEB" w:rsidRDefault="002A2C8F" w:rsidP="000E0563">
            <w:pPr>
              <w:textAlignment w:val="top"/>
              <w:rPr>
                <w:rFonts w:eastAsia="Times New Roman"/>
                <w:bCs/>
              </w:rPr>
            </w:pPr>
            <w:r>
              <w:rPr>
                <w:rFonts w:eastAsia="Times New Roman"/>
                <w:bCs/>
              </w:rPr>
              <w:t>2. Назва предмету закупівлі</w:t>
            </w:r>
            <w:r w:rsidR="006A2878" w:rsidRPr="00CE4DEB">
              <w:rPr>
                <w:rFonts w:eastAsia="Times New Roman"/>
                <w:bCs/>
              </w:rPr>
              <w:t>:</w:t>
            </w:r>
          </w:p>
        </w:tc>
        <w:tc>
          <w:tcPr>
            <w:tcW w:w="6804" w:type="dxa"/>
            <w:vAlign w:val="center"/>
          </w:tcPr>
          <w:p w14:paraId="2344390A" w14:textId="32309665" w:rsidR="006A2878" w:rsidRPr="00486349" w:rsidRDefault="00B53FCA" w:rsidP="000E0563">
            <w:pPr>
              <w:pStyle w:val="Default"/>
              <w:ind w:right="142"/>
              <w:jc w:val="both"/>
              <w:rPr>
                <w:bCs/>
                <w:color w:val="auto"/>
                <w:lang w:val="uk-UA"/>
              </w:rPr>
            </w:pPr>
            <w:r w:rsidRPr="006C14CE">
              <w:rPr>
                <w:bCs/>
                <w:lang w:val="uk-UA"/>
              </w:rPr>
              <w:t>«</w:t>
            </w:r>
            <w:r w:rsidRPr="006C14CE">
              <w:rPr>
                <w:b/>
                <w:bCs/>
                <w:lang w:val="uk-UA"/>
              </w:rPr>
              <w:t xml:space="preserve">код Основного словника національного класифікатора України ДК 021:2015 "Єдиний закупівельний словник"– </w:t>
            </w:r>
            <w:r w:rsidR="00025787" w:rsidRPr="002C4564">
              <w:rPr>
                <w:b/>
                <w:sz w:val="22"/>
                <w:szCs w:val="22"/>
              </w:rPr>
              <w:t>33600000-6 (Olaparib)»</w:t>
            </w:r>
          </w:p>
        </w:tc>
      </w:tr>
      <w:tr w:rsidR="00CE4DEB" w:rsidRPr="00CE4DEB" w14:paraId="34EFBA1A" w14:textId="77777777" w:rsidTr="000E0563">
        <w:tc>
          <w:tcPr>
            <w:tcW w:w="3147" w:type="dxa"/>
            <w:vAlign w:val="center"/>
            <w:hideMark/>
          </w:tcPr>
          <w:p w14:paraId="2450FF3A" w14:textId="77777777" w:rsidR="00EC1376" w:rsidRPr="00CE4DEB" w:rsidRDefault="00EC1376" w:rsidP="000E0563">
            <w:pPr>
              <w:jc w:val="both"/>
              <w:textAlignment w:val="top"/>
              <w:rPr>
                <w:rFonts w:eastAsia="Times New Roman"/>
                <w:bCs/>
              </w:rPr>
            </w:pPr>
            <w:r w:rsidRPr="00CE4DEB">
              <w:rPr>
                <w:rFonts w:eastAsia="Times New Roman"/>
                <w:bCs/>
              </w:rPr>
              <w:t>3. Кількість товарів або обсяг виконання робіт чи надання послуг:</w:t>
            </w:r>
          </w:p>
        </w:tc>
        <w:tc>
          <w:tcPr>
            <w:tcW w:w="6804" w:type="dxa"/>
            <w:vAlign w:val="center"/>
          </w:tcPr>
          <w:p w14:paraId="525C2B23" w14:textId="77777777" w:rsidR="00CB73B3" w:rsidRPr="00CE4DEB" w:rsidRDefault="00CC2367" w:rsidP="000E0563">
            <w:pPr>
              <w:rPr>
                <w:rFonts w:eastAsia="Times New Roman"/>
                <w:b/>
                <w:bCs/>
                <w:lang w:eastAsia="ru-RU"/>
              </w:rPr>
            </w:pPr>
            <w:r w:rsidRPr="00CE4DEB">
              <w:rPr>
                <w:b/>
              </w:rPr>
              <w:t>кількість та обсяг товару зазначені у Додатку 2 до тендерної документації.</w:t>
            </w:r>
          </w:p>
        </w:tc>
      </w:tr>
      <w:tr w:rsidR="00CE4DEB" w:rsidRPr="00CE4DEB" w14:paraId="086F6859" w14:textId="77777777" w:rsidTr="000E0563">
        <w:tc>
          <w:tcPr>
            <w:tcW w:w="3147" w:type="dxa"/>
            <w:vAlign w:val="center"/>
            <w:hideMark/>
          </w:tcPr>
          <w:p w14:paraId="6BC34FDC" w14:textId="77777777" w:rsidR="00EC1376" w:rsidRPr="00CE4DEB" w:rsidRDefault="00EC1376" w:rsidP="000E0563">
            <w:pPr>
              <w:jc w:val="both"/>
              <w:textAlignment w:val="top"/>
              <w:rPr>
                <w:rFonts w:eastAsia="Times New Roman"/>
                <w:bCs/>
              </w:rPr>
            </w:pPr>
            <w:r w:rsidRPr="00CE4DEB">
              <w:rPr>
                <w:rFonts w:eastAsia="Times New Roman"/>
                <w:bCs/>
              </w:rPr>
              <w:t>3</w:t>
            </w:r>
            <w:r w:rsidRPr="00CE4DEB">
              <w:rPr>
                <w:rFonts w:eastAsia="Times New Roman"/>
                <w:bCs/>
                <w:vertAlign w:val="superscript"/>
              </w:rPr>
              <w:t>1</w:t>
            </w:r>
            <w:r w:rsidRPr="00CE4DEB">
              <w:rPr>
                <w:rFonts w:eastAsia="Times New Roman"/>
                <w:bCs/>
              </w:rPr>
              <w:t>. Місце поставки товарів або місце виконання робіт чи надання послуг:</w:t>
            </w:r>
          </w:p>
        </w:tc>
        <w:tc>
          <w:tcPr>
            <w:tcW w:w="6804" w:type="dxa"/>
            <w:vAlign w:val="center"/>
          </w:tcPr>
          <w:p w14:paraId="3EDB91A6" w14:textId="14A7FFA1" w:rsidR="00EC1376" w:rsidRPr="00CE4DEB" w:rsidRDefault="008D14BE" w:rsidP="000E0563">
            <w:r w:rsidRPr="00CE4DEB">
              <w:rPr>
                <w:b/>
              </w:rPr>
              <w:t>21029, м. Вінниця,  вул. Хмельницьке шосе, 84</w:t>
            </w:r>
          </w:p>
        </w:tc>
      </w:tr>
      <w:tr w:rsidR="00440457" w:rsidRPr="00CE4DEB" w14:paraId="7D332A90" w14:textId="77777777" w:rsidTr="00B53FCA">
        <w:trPr>
          <w:trHeight w:val="656"/>
        </w:trPr>
        <w:tc>
          <w:tcPr>
            <w:tcW w:w="3147" w:type="dxa"/>
            <w:vAlign w:val="center"/>
            <w:hideMark/>
          </w:tcPr>
          <w:p w14:paraId="3502C60C" w14:textId="77777777" w:rsidR="00440457" w:rsidRPr="00CE4DEB" w:rsidRDefault="00440457" w:rsidP="00440457">
            <w:pPr>
              <w:jc w:val="both"/>
              <w:textAlignment w:val="top"/>
              <w:rPr>
                <w:rFonts w:eastAsia="Times New Roman"/>
                <w:bCs/>
              </w:rPr>
            </w:pPr>
            <w:r w:rsidRPr="00CE4DEB">
              <w:rPr>
                <w:rFonts w:eastAsia="Times New Roman"/>
                <w:bCs/>
              </w:rPr>
              <w:t>4. Очікувана вартість закупівлі:</w:t>
            </w:r>
          </w:p>
        </w:tc>
        <w:tc>
          <w:tcPr>
            <w:tcW w:w="6804" w:type="dxa"/>
            <w:vAlign w:val="center"/>
          </w:tcPr>
          <w:p w14:paraId="4674782D" w14:textId="01BF310A" w:rsidR="00440457" w:rsidRPr="008576B0" w:rsidRDefault="00BC17BF" w:rsidP="00025787">
            <w:pPr>
              <w:pStyle w:val="rvps2"/>
              <w:shd w:val="clear" w:color="auto" w:fill="FFFFFF"/>
              <w:spacing w:before="0" w:beforeAutospacing="0" w:after="0" w:afterAutospacing="0"/>
              <w:jc w:val="both"/>
              <w:textAlignment w:val="baseline"/>
              <w:rPr>
                <w:b/>
                <w:lang w:val="uk-UA"/>
              </w:rPr>
            </w:pPr>
            <w:r>
              <w:rPr>
                <w:b/>
                <w:lang w:val="uk-UA"/>
              </w:rPr>
              <w:t>1</w:t>
            </w:r>
            <w:r w:rsidR="00025787">
              <w:rPr>
                <w:b/>
                <w:lang w:val="uk-UA"/>
              </w:rPr>
              <w:t>6</w:t>
            </w:r>
            <w:r>
              <w:rPr>
                <w:b/>
                <w:lang w:val="uk-UA"/>
              </w:rPr>
              <w:t>0</w:t>
            </w:r>
            <w:r w:rsidR="00B53FCA">
              <w:rPr>
                <w:b/>
                <w:lang w:val="uk-UA"/>
              </w:rPr>
              <w:t xml:space="preserve"> 000</w:t>
            </w:r>
            <w:r w:rsidR="00024F5D">
              <w:rPr>
                <w:b/>
                <w:lang w:val="uk-UA"/>
              </w:rPr>
              <w:t>,00</w:t>
            </w:r>
            <w:r w:rsidR="00440457">
              <w:rPr>
                <w:b/>
                <w:lang w:val="uk-UA"/>
              </w:rPr>
              <w:t xml:space="preserve"> </w:t>
            </w:r>
            <w:r w:rsidR="00440457" w:rsidRPr="003A2CF7">
              <w:rPr>
                <w:b/>
                <w:lang w:val="uk-UA"/>
              </w:rPr>
              <w:t>(</w:t>
            </w:r>
            <w:r>
              <w:rPr>
                <w:b/>
                <w:lang w:val="uk-UA"/>
              </w:rPr>
              <w:t xml:space="preserve">сто </w:t>
            </w:r>
            <w:r w:rsidR="00025787">
              <w:rPr>
                <w:b/>
                <w:lang w:val="uk-UA"/>
              </w:rPr>
              <w:t>шістдесят</w:t>
            </w:r>
            <w:r>
              <w:rPr>
                <w:b/>
                <w:lang w:val="uk-UA"/>
              </w:rPr>
              <w:t xml:space="preserve"> </w:t>
            </w:r>
            <w:r w:rsidR="00440457">
              <w:rPr>
                <w:b/>
                <w:lang w:val="uk-UA"/>
              </w:rPr>
              <w:t>тисяч</w:t>
            </w:r>
            <w:r w:rsidR="00440457" w:rsidRPr="003A2CF7">
              <w:rPr>
                <w:b/>
                <w:lang w:val="uk-UA"/>
              </w:rPr>
              <w:t xml:space="preserve"> гривень </w:t>
            </w:r>
            <w:r w:rsidR="00440457">
              <w:rPr>
                <w:b/>
                <w:lang w:val="uk-UA"/>
              </w:rPr>
              <w:t>0</w:t>
            </w:r>
            <w:r w:rsidR="00440457" w:rsidRPr="003A2CF7">
              <w:rPr>
                <w:b/>
                <w:lang w:val="uk-UA"/>
              </w:rPr>
              <w:t>0 копійок) з ПДВ</w:t>
            </w:r>
          </w:p>
        </w:tc>
      </w:tr>
      <w:tr w:rsidR="00440457" w:rsidRPr="00CE4DEB" w14:paraId="460A0D33" w14:textId="77777777" w:rsidTr="000E0563">
        <w:tc>
          <w:tcPr>
            <w:tcW w:w="3147" w:type="dxa"/>
            <w:vAlign w:val="center"/>
            <w:hideMark/>
          </w:tcPr>
          <w:p w14:paraId="2EF4DCCF" w14:textId="77777777" w:rsidR="00440457" w:rsidRPr="00CE4DEB" w:rsidRDefault="00440457" w:rsidP="00440457">
            <w:pPr>
              <w:jc w:val="both"/>
              <w:textAlignment w:val="top"/>
              <w:rPr>
                <w:rFonts w:eastAsia="Times New Roman"/>
                <w:bCs/>
              </w:rPr>
            </w:pPr>
            <w:r w:rsidRPr="00CE4DEB">
              <w:rPr>
                <w:rFonts w:eastAsia="Times New Roman"/>
                <w:bCs/>
              </w:rPr>
              <w:t>5. Строк поставки товарів, виконання робіт чи надання послуг:</w:t>
            </w:r>
          </w:p>
        </w:tc>
        <w:tc>
          <w:tcPr>
            <w:tcW w:w="6804" w:type="dxa"/>
            <w:vAlign w:val="center"/>
          </w:tcPr>
          <w:p w14:paraId="02C7CCD7" w14:textId="05050C69" w:rsidR="00440457" w:rsidRPr="008576B0" w:rsidRDefault="002A2C8F" w:rsidP="002A2C8F">
            <w:pPr>
              <w:rPr>
                <w:rStyle w:val="a3"/>
                <w:rFonts w:eastAsia="Times New Roman"/>
              </w:rPr>
            </w:pPr>
            <w:r w:rsidRPr="008576B0">
              <w:rPr>
                <w:rFonts w:eastAsia="Times New Roman"/>
                <w:b/>
                <w:lang w:eastAsia="ru-RU"/>
              </w:rPr>
              <w:t>Д</w:t>
            </w:r>
            <w:r w:rsidR="00440457" w:rsidRPr="008576B0">
              <w:rPr>
                <w:rFonts w:eastAsia="Times New Roman"/>
                <w:b/>
                <w:lang w:eastAsia="ru-RU"/>
              </w:rPr>
              <w:t>о</w:t>
            </w:r>
            <w:r>
              <w:rPr>
                <w:rFonts w:eastAsia="Times New Roman"/>
                <w:b/>
                <w:lang w:eastAsia="ru-RU"/>
              </w:rPr>
              <w:t xml:space="preserve"> 31</w:t>
            </w:r>
            <w:r w:rsidR="00440457" w:rsidRPr="008576B0">
              <w:rPr>
                <w:rFonts w:eastAsia="Times New Roman"/>
                <w:b/>
                <w:lang w:eastAsia="ru-RU"/>
              </w:rPr>
              <w:t>.12.2023 року</w:t>
            </w:r>
          </w:p>
        </w:tc>
      </w:tr>
      <w:tr w:rsidR="00B57E15" w:rsidRPr="00CE4DEB" w14:paraId="40E8C104" w14:textId="77777777" w:rsidTr="000E0563">
        <w:tc>
          <w:tcPr>
            <w:tcW w:w="3147" w:type="dxa"/>
            <w:vAlign w:val="center"/>
            <w:hideMark/>
          </w:tcPr>
          <w:p w14:paraId="0AA9471B" w14:textId="77777777" w:rsidR="00B57E15" w:rsidRPr="00CE4DEB" w:rsidRDefault="00B57E15" w:rsidP="00B57E15">
            <w:pPr>
              <w:textAlignment w:val="top"/>
              <w:rPr>
                <w:rFonts w:eastAsia="Times New Roman"/>
                <w:bCs/>
              </w:rPr>
            </w:pPr>
            <w:r w:rsidRPr="00CE4DEB">
              <w:rPr>
                <w:rFonts w:eastAsia="Times New Roman"/>
                <w:bCs/>
              </w:rPr>
              <w:t>6. Кінцевий строк подання тендерних пропозицій:</w:t>
            </w:r>
          </w:p>
        </w:tc>
        <w:tc>
          <w:tcPr>
            <w:tcW w:w="6804" w:type="dxa"/>
            <w:vAlign w:val="center"/>
          </w:tcPr>
          <w:p w14:paraId="1B199EAB" w14:textId="6ECD3FB2" w:rsidR="00B57E15" w:rsidRPr="008576B0" w:rsidRDefault="00BC17BF" w:rsidP="007A2E48">
            <w:pPr>
              <w:pStyle w:val="ab"/>
              <w:spacing w:before="0" w:after="0"/>
              <w:jc w:val="both"/>
              <w:rPr>
                <w:b/>
              </w:rPr>
            </w:pPr>
            <w:r>
              <w:rPr>
                <w:b/>
              </w:rPr>
              <w:t xml:space="preserve"> </w:t>
            </w:r>
            <w:r w:rsidR="00B57E15">
              <w:rPr>
                <w:b/>
              </w:rPr>
              <w:t>«</w:t>
            </w:r>
            <w:r w:rsidR="00D43D54">
              <w:rPr>
                <w:b/>
              </w:rPr>
              <w:t>0</w:t>
            </w:r>
            <w:r w:rsidR="007A2E48">
              <w:rPr>
                <w:b/>
              </w:rPr>
              <w:t>8</w:t>
            </w:r>
            <w:bookmarkStart w:id="0" w:name="_GoBack"/>
            <w:bookmarkEnd w:id="0"/>
            <w:r w:rsidR="00B57E15">
              <w:rPr>
                <w:b/>
              </w:rPr>
              <w:t xml:space="preserve">» </w:t>
            </w:r>
            <w:r w:rsidR="00D43D54">
              <w:rPr>
                <w:b/>
              </w:rPr>
              <w:t>квітня</w:t>
            </w:r>
            <w:r w:rsidR="00B57E15">
              <w:rPr>
                <w:b/>
              </w:rPr>
              <w:t xml:space="preserve"> 2023 року до 16:00 год.</w:t>
            </w:r>
          </w:p>
        </w:tc>
      </w:tr>
      <w:tr w:rsidR="00B57E15" w:rsidRPr="00CE4DEB" w14:paraId="52DD7D58" w14:textId="77777777" w:rsidTr="000E0563">
        <w:tc>
          <w:tcPr>
            <w:tcW w:w="3147" w:type="dxa"/>
            <w:vAlign w:val="center"/>
            <w:hideMark/>
          </w:tcPr>
          <w:p w14:paraId="3C418773" w14:textId="77777777" w:rsidR="00B57E15" w:rsidRPr="00CE4DEB" w:rsidRDefault="00B57E15" w:rsidP="00B57E15">
            <w:pPr>
              <w:textAlignment w:val="top"/>
              <w:rPr>
                <w:rFonts w:eastAsia="Times New Roman"/>
                <w:bCs/>
              </w:rPr>
            </w:pPr>
            <w:r w:rsidRPr="00CE4DEB">
              <w:rPr>
                <w:rFonts w:eastAsia="Times New Roman"/>
                <w:bCs/>
              </w:rPr>
              <w:t>7. Умови оплати:</w:t>
            </w:r>
          </w:p>
        </w:tc>
        <w:tc>
          <w:tcPr>
            <w:tcW w:w="6804" w:type="dxa"/>
            <w:vAlign w:val="center"/>
          </w:tcPr>
          <w:p w14:paraId="38F62E2E" w14:textId="77777777" w:rsidR="00B57E15" w:rsidRPr="009249EB" w:rsidRDefault="00B57E15" w:rsidP="00B57E15">
            <w:pPr>
              <w:jc w:val="both"/>
              <w:textAlignment w:val="top"/>
              <w:rPr>
                <w:rFonts w:eastAsia="Times New Roman"/>
                <w:b/>
                <w:bCs/>
              </w:rPr>
            </w:pPr>
            <w:r w:rsidRPr="009249EB">
              <w:rPr>
                <w:rFonts w:eastAsia="Times New Roman"/>
                <w:b/>
                <w:bCs/>
              </w:rPr>
              <w:t xml:space="preserve">Тип: післяоплата; </w:t>
            </w:r>
          </w:p>
          <w:p w14:paraId="575667A9" w14:textId="77777777" w:rsidR="00B57E15" w:rsidRPr="009249EB" w:rsidRDefault="00B57E15" w:rsidP="00B57E15">
            <w:pPr>
              <w:jc w:val="both"/>
              <w:textAlignment w:val="top"/>
              <w:rPr>
                <w:rFonts w:eastAsia="Times New Roman"/>
                <w:b/>
                <w:bCs/>
              </w:rPr>
            </w:pPr>
            <w:r w:rsidRPr="009249EB">
              <w:rPr>
                <w:rFonts w:eastAsia="Times New Roman"/>
                <w:b/>
                <w:bCs/>
              </w:rPr>
              <w:t xml:space="preserve">Період та тип днів: 30 календарних днів; </w:t>
            </w:r>
          </w:p>
          <w:p w14:paraId="28D3AD24" w14:textId="77777777" w:rsidR="00B57E15" w:rsidRPr="009249EB" w:rsidRDefault="00B57E15" w:rsidP="00B57E15">
            <w:pPr>
              <w:jc w:val="both"/>
              <w:textAlignment w:val="top"/>
              <w:rPr>
                <w:rFonts w:eastAsia="Times New Roman"/>
                <w:b/>
                <w:bCs/>
              </w:rPr>
            </w:pPr>
            <w:r w:rsidRPr="009249EB">
              <w:rPr>
                <w:rFonts w:eastAsia="Times New Roman"/>
                <w:b/>
                <w:bCs/>
              </w:rPr>
              <w:t xml:space="preserve">Розмір оплати: 100%; </w:t>
            </w:r>
          </w:p>
          <w:p w14:paraId="0ADCC77B" w14:textId="25A44050" w:rsidR="00B57E15" w:rsidRPr="009249EB" w:rsidRDefault="00B57E15" w:rsidP="00B57E15">
            <w:pPr>
              <w:jc w:val="both"/>
              <w:textAlignment w:val="top"/>
              <w:rPr>
                <w:rStyle w:val="a3"/>
              </w:rPr>
            </w:pPr>
            <w:r w:rsidRPr="009249EB">
              <w:rPr>
                <w:rFonts w:eastAsia="Times New Roman"/>
                <w:b/>
                <w:bCs/>
              </w:rPr>
              <w:t xml:space="preserve">Примітка: </w:t>
            </w:r>
            <w:r w:rsidRPr="009249EB">
              <w:t xml:space="preserve">Розрахунки за Договором проводяться на підставі накладних шляхом перерахування грошових коштів на розрахунковий рахунок Постачальника. </w:t>
            </w:r>
            <w:r w:rsidRPr="009249EB">
              <w:rPr>
                <w:bCs/>
              </w:rPr>
              <w:t>Розрахунки проводяться протягом 30 календарних днів з моменту отримання товару</w:t>
            </w:r>
            <w:r w:rsidRPr="009249EB">
              <w:rPr>
                <w:rFonts w:eastAsia="Times New Roman"/>
                <w:b/>
                <w:bCs/>
              </w:rPr>
              <w:t>.</w:t>
            </w:r>
          </w:p>
        </w:tc>
      </w:tr>
      <w:tr w:rsidR="00B57E15" w:rsidRPr="00CE4DEB" w14:paraId="1EF71133" w14:textId="77777777" w:rsidTr="000E0563">
        <w:tc>
          <w:tcPr>
            <w:tcW w:w="3147" w:type="dxa"/>
            <w:vAlign w:val="center"/>
            <w:hideMark/>
          </w:tcPr>
          <w:p w14:paraId="161E73A3" w14:textId="77777777" w:rsidR="00B57E15" w:rsidRPr="00CE4DEB" w:rsidRDefault="00B57E15" w:rsidP="00B57E15">
            <w:pPr>
              <w:textAlignment w:val="top"/>
              <w:rPr>
                <w:rFonts w:eastAsia="Times New Roman"/>
                <w:bCs/>
              </w:rPr>
            </w:pPr>
            <w:r w:rsidRPr="00CE4DEB">
              <w:rPr>
                <w:rFonts w:eastAsia="Times New Roman"/>
                <w:bCs/>
              </w:rPr>
              <w:t>8. Мова (мови), якою (якими) повинні готуватися тендерні пропозиції</w:t>
            </w:r>
          </w:p>
        </w:tc>
        <w:tc>
          <w:tcPr>
            <w:tcW w:w="6804" w:type="dxa"/>
            <w:vAlign w:val="center"/>
          </w:tcPr>
          <w:p w14:paraId="2946DF73" w14:textId="32C0BFDD" w:rsidR="00B57E15" w:rsidRPr="00CE4DEB" w:rsidRDefault="00B57E15" w:rsidP="00B57E15">
            <w:pPr>
              <w:jc w:val="both"/>
              <w:textAlignment w:val="top"/>
              <w:rPr>
                <w:rStyle w:val="a3"/>
              </w:rPr>
            </w:pPr>
            <w:r w:rsidRPr="00CE4DEB">
              <w:rPr>
                <w:rStyle w:val="a3"/>
              </w:rPr>
              <w:t>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встановлене тендерною документацією</w:t>
            </w:r>
          </w:p>
        </w:tc>
      </w:tr>
      <w:tr w:rsidR="00B57E15" w:rsidRPr="00CE4DEB" w14:paraId="67F3229C" w14:textId="77777777" w:rsidTr="000E0563">
        <w:tc>
          <w:tcPr>
            <w:tcW w:w="3147" w:type="dxa"/>
            <w:vAlign w:val="center"/>
            <w:hideMark/>
          </w:tcPr>
          <w:p w14:paraId="075BA3E1" w14:textId="77777777" w:rsidR="00B57E15" w:rsidRPr="00CE4DEB" w:rsidRDefault="00B57E15" w:rsidP="00B57E15">
            <w:pPr>
              <w:jc w:val="both"/>
              <w:textAlignment w:val="top"/>
              <w:rPr>
                <w:rFonts w:eastAsia="Times New Roman"/>
                <w:bCs/>
              </w:rPr>
            </w:pPr>
            <w:r w:rsidRPr="00CE4DEB">
              <w:rPr>
                <w:rFonts w:eastAsia="Times New Roman"/>
                <w:bCs/>
              </w:rPr>
              <w:t>9.Розмір, вид та умови надання забезпечення тендерних пропозицій (якщо замовник вимагає його надати):</w:t>
            </w:r>
          </w:p>
        </w:tc>
        <w:tc>
          <w:tcPr>
            <w:tcW w:w="6804" w:type="dxa"/>
            <w:vAlign w:val="center"/>
          </w:tcPr>
          <w:p w14:paraId="61AA93C0" w14:textId="77777777" w:rsidR="00B57E15" w:rsidRPr="00CE4DEB" w:rsidRDefault="00B57E15" w:rsidP="00B57E15">
            <w:pPr>
              <w:jc w:val="both"/>
              <w:textAlignment w:val="top"/>
              <w:rPr>
                <w:rStyle w:val="a3"/>
              </w:rPr>
            </w:pPr>
            <w:r w:rsidRPr="00CE4DEB">
              <w:rPr>
                <w:rStyle w:val="a3"/>
              </w:rPr>
              <w:t>Забезпечення тендерної пропозиції не вимагається</w:t>
            </w:r>
          </w:p>
        </w:tc>
      </w:tr>
      <w:tr w:rsidR="00B57E15" w:rsidRPr="00CE4DEB" w14:paraId="0F048076" w14:textId="77777777" w:rsidTr="000E0563">
        <w:tc>
          <w:tcPr>
            <w:tcW w:w="3147" w:type="dxa"/>
            <w:vAlign w:val="center"/>
            <w:hideMark/>
          </w:tcPr>
          <w:p w14:paraId="7583B028" w14:textId="77777777" w:rsidR="00B57E15" w:rsidRPr="00CE4DEB" w:rsidRDefault="00B57E15" w:rsidP="00B57E15">
            <w:pPr>
              <w:jc w:val="both"/>
              <w:textAlignment w:val="top"/>
              <w:rPr>
                <w:rFonts w:eastAsia="Times New Roman"/>
                <w:bCs/>
              </w:rPr>
            </w:pPr>
            <w:r w:rsidRPr="00CE4DEB">
              <w:rPr>
                <w:rFonts w:eastAsia="Times New Roman"/>
                <w:bCs/>
              </w:rPr>
              <w:t>10.</w:t>
            </w:r>
            <w:r w:rsidRPr="00CE4DEB">
              <w:t xml:space="preserve"> Д</w:t>
            </w:r>
            <w:r w:rsidRPr="00CE4DE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804" w:type="dxa"/>
            <w:vAlign w:val="center"/>
          </w:tcPr>
          <w:p w14:paraId="5809E78A" w14:textId="311BAF0C" w:rsidR="00B57E15" w:rsidRPr="00CE4DEB" w:rsidRDefault="00B57E15" w:rsidP="00B57E15">
            <w:pPr>
              <w:jc w:val="both"/>
              <w:textAlignment w:val="top"/>
              <w:rPr>
                <w:rStyle w:val="a3"/>
              </w:rPr>
            </w:pPr>
            <w:r w:rsidRPr="00CE4DEB">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B57E15" w:rsidRPr="00CE4DEB" w14:paraId="61BBBEA1" w14:textId="77777777" w:rsidTr="000E0563">
        <w:tc>
          <w:tcPr>
            <w:tcW w:w="3147" w:type="dxa"/>
            <w:vAlign w:val="center"/>
            <w:hideMark/>
          </w:tcPr>
          <w:p w14:paraId="72A0AE5D" w14:textId="7BC76E62" w:rsidR="00B57E15" w:rsidRPr="00CE4DEB" w:rsidRDefault="00B57E15" w:rsidP="00B57E15">
            <w:pPr>
              <w:jc w:val="both"/>
              <w:textAlignment w:val="top"/>
              <w:rPr>
                <w:rFonts w:eastAsia="Times New Roman"/>
                <w:bCs/>
              </w:rPr>
            </w:pPr>
            <w:r w:rsidRPr="00CE4DEB">
              <w:rPr>
                <w:rFonts w:eastAsia="Times New Roman"/>
                <w:bCs/>
              </w:rPr>
              <w:t>1</w:t>
            </w:r>
            <w:r>
              <w:rPr>
                <w:rFonts w:eastAsia="Times New Roman"/>
                <w:bCs/>
              </w:rPr>
              <w:t>1</w:t>
            </w:r>
            <w:r w:rsidRPr="00CE4DEB">
              <w:rPr>
                <w:rFonts w:eastAsia="Times New Roman"/>
                <w:bCs/>
              </w:rPr>
              <w:t>. Математична формула для розрахунку приведеної ціни (у разі її застосування)</w:t>
            </w:r>
          </w:p>
        </w:tc>
        <w:tc>
          <w:tcPr>
            <w:tcW w:w="6804" w:type="dxa"/>
            <w:vAlign w:val="center"/>
          </w:tcPr>
          <w:p w14:paraId="194E08FE" w14:textId="77777777" w:rsidR="00B57E15" w:rsidRPr="00CE4DEB" w:rsidRDefault="00B57E15" w:rsidP="00B57E15">
            <w:pPr>
              <w:jc w:val="both"/>
              <w:textAlignment w:val="top"/>
              <w:rPr>
                <w:rStyle w:val="a3"/>
              </w:rPr>
            </w:pPr>
            <w:r w:rsidRPr="00CE4DE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CE4DEB" w:rsidRDefault="002B049C">
      <w:pPr>
        <w:textAlignment w:val="top"/>
        <w:rPr>
          <w:rFonts w:eastAsia="Times New Roman"/>
          <w:sz w:val="10"/>
          <w:szCs w:val="10"/>
        </w:rPr>
      </w:pPr>
    </w:p>
    <w:p w14:paraId="118B6313" w14:textId="77777777" w:rsidR="00A027FD" w:rsidRPr="00CE4DEB" w:rsidRDefault="00A027FD">
      <w:pPr>
        <w:textAlignment w:val="top"/>
        <w:rPr>
          <w:rFonts w:eastAsia="Times New Roman"/>
          <w:sz w:val="10"/>
          <w:szCs w:val="10"/>
        </w:rPr>
      </w:pPr>
    </w:p>
    <w:p w14:paraId="2B648986" w14:textId="77777777" w:rsidR="002B049C" w:rsidRPr="00CE4DEB" w:rsidRDefault="002B049C">
      <w:pPr>
        <w:textAlignment w:val="top"/>
        <w:rPr>
          <w:rFonts w:eastAsia="Times New Roman"/>
          <w:bCs/>
          <w:sz w:val="10"/>
          <w:szCs w:val="10"/>
        </w:rPr>
      </w:pPr>
    </w:p>
    <w:p w14:paraId="4AFCA74E" w14:textId="3F63364A" w:rsidR="00FF2126" w:rsidRPr="00CE4DEB" w:rsidRDefault="006E06B8">
      <w:pPr>
        <w:rPr>
          <w:rFonts w:eastAsia="Times New Roman"/>
          <w:bCs/>
        </w:rPr>
      </w:pPr>
      <w:r w:rsidRPr="00CE4DEB">
        <w:rPr>
          <w:i/>
          <w:sz w:val="16"/>
          <w:szCs w:val="16"/>
        </w:rPr>
        <w:t>* з особливостями затвердженими постановою Кабінету Міністрів України від 12 жовтня 2022 р. № 1178</w:t>
      </w:r>
      <w:r w:rsidR="003C159A">
        <w:rPr>
          <w:i/>
          <w:sz w:val="16"/>
          <w:szCs w:val="16"/>
        </w:rPr>
        <w:t xml:space="preserve"> (зі змінами)</w:t>
      </w:r>
    </w:p>
    <w:p w14:paraId="7B44998E" w14:textId="77777777" w:rsidR="008B284B" w:rsidRPr="00CE4DEB" w:rsidRDefault="008B284B">
      <w:pPr>
        <w:rPr>
          <w:rFonts w:eastAsia="Times New Roman"/>
          <w:bCs/>
        </w:rPr>
      </w:pPr>
    </w:p>
    <w:p w14:paraId="59AB3C11" w14:textId="77777777" w:rsidR="00EF218C" w:rsidRPr="00CE4DE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E4DEB" w:rsidRPr="00CE4DEB" w14:paraId="5478A9F4" w14:textId="77777777" w:rsidTr="00CD3CE6">
        <w:trPr>
          <w:trHeight w:val="131"/>
          <w:jc w:val="center"/>
        </w:trPr>
        <w:tc>
          <w:tcPr>
            <w:tcW w:w="3664" w:type="dxa"/>
          </w:tcPr>
          <w:p w14:paraId="5B29D559" w14:textId="77777777" w:rsidR="00CD3CE6" w:rsidRPr="00CE4DEB" w:rsidRDefault="00CD3CE6">
            <w:pPr>
              <w:tabs>
                <w:tab w:val="left" w:pos="1440"/>
              </w:tabs>
              <w:ind w:firstLine="3"/>
              <w:jc w:val="center"/>
              <w:rPr>
                <w:lang w:eastAsia="ru-RU"/>
              </w:rPr>
            </w:pPr>
            <w:r w:rsidRPr="00CE4DEB">
              <w:rPr>
                <w:b/>
              </w:rPr>
              <w:t>Уповноважена особа</w:t>
            </w:r>
          </w:p>
          <w:p w14:paraId="6EEAAF84" w14:textId="77777777" w:rsidR="00CD3CE6" w:rsidRPr="00CE4DEB" w:rsidRDefault="00CD3CE6">
            <w:pPr>
              <w:shd w:val="clear" w:color="auto" w:fill="FFFFFF"/>
              <w:jc w:val="center"/>
            </w:pPr>
            <w:r w:rsidRPr="00CE4DE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CE4DEB">
              <w:rPr>
                <w:b/>
              </w:rPr>
              <w:t xml:space="preserve"> </w:t>
            </w:r>
          </w:p>
          <w:p w14:paraId="3C5C4248" w14:textId="77777777" w:rsidR="00CD3CE6" w:rsidRPr="00CE4DEB" w:rsidRDefault="00CD3CE6">
            <w:pPr>
              <w:shd w:val="clear" w:color="auto" w:fill="FFFFFF"/>
              <w:ind w:firstLine="3"/>
              <w:rPr>
                <w:i/>
                <w:lang w:eastAsia="ru-RU"/>
              </w:rPr>
            </w:pPr>
          </w:p>
        </w:tc>
        <w:tc>
          <w:tcPr>
            <w:tcW w:w="3285" w:type="dxa"/>
            <w:vAlign w:val="center"/>
            <w:hideMark/>
          </w:tcPr>
          <w:p w14:paraId="3A678A37" w14:textId="77777777" w:rsidR="00CD3CE6" w:rsidRPr="00CE4DEB" w:rsidRDefault="00CD3CE6">
            <w:pPr>
              <w:tabs>
                <w:tab w:val="left" w:pos="1440"/>
              </w:tabs>
              <w:jc w:val="center"/>
              <w:rPr>
                <w:lang w:eastAsia="ru-RU"/>
              </w:rPr>
            </w:pPr>
            <w:r w:rsidRPr="00CE4DEB">
              <w:t>________________</w:t>
            </w:r>
          </w:p>
        </w:tc>
        <w:tc>
          <w:tcPr>
            <w:tcW w:w="3089" w:type="dxa"/>
            <w:vAlign w:val="center"/>
            <w:hideMark/>
          </w:tcPr>
          <w:p w14:paraId="312E3374" w14:textId="7B82A0C6" w:rsidR="00CD3CE6" w:rsidRPr="00CE4DEB" w:rsidRDefault="00C4680D" w:rsidP="00416E50">
            <w:pPr>
              <w:tabs>
                <w:tab w:val="left" w:pos="1440"/>
              </w:tabs>
              <w:rPr>
                <w:lang w:eastAsia="ru-RU"/>
              </w:rPr>
            </w:pPr>
            <w:r w:rsidRPr="00CE4DEB">
              <w:rPr>
                <w:b/>
              </w:rPr>
              <w:t>Т</w:t>
            </w:r>
            <w:r w:rsidR="00EA1F55" w:rsidRPr="00CE4DEB">
              <w:rPr>
                <w:b/>
              </w:rPr>
              <w:t>.</w:t>
            </w:r>
            <w:r w:rsidRPr="00CE4DEB">
              <w:rPr>
                <w:b/>
              </w:rPr>
              <w:t>М</w:t>
            </w:r>
            <w:r w:rsidR="00EA1F55" w:rsidRPr="00CE4DEB">
              <w:rPr>
                <w:b/>
              </w:rPr>
              <w:t xml:space="preserve">. </w:t>
            </w:r>
            <w:r w:rsidR="00416E50" w:rsidRPr="00CE4DEB">
              <w:rPr>
                <w:b/>
              </w:rPr>
              <w:t>Гаврилюк</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9347A4">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2EC3E" w14:textId="77777777" w:rsidR="004B5651" w:rsidRDefault="004B5651" w:rsidP="003E1630">
      <w:r>
        <w:separator/>
      </w:r>
    </w:p>
  </w:endnote>
  <w:endnote w:type="continuationSeparator" w:id="0">
    <w:p w14:paraId="3A9A85ED" w14:textId="77777777" w:rsidR="004B5651" w:rsidRDefault="004B5651"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39238" w14:textId="77777777" w:rsidR="004B5651" w:rsidRDefault="004B5651" w:rsidP="003E1630">
      <w:r>
        <w:separator/>
      </w:r>
    </w:p>
  </w:footnote>
  <w:footnote w:type="continuationSeparator" w:id="0">
    <w:p w14:paraId="64729F2F" w14:textId="77777777" w:rsidR="004B5651" w:rsidRDefault="004B5651" w:rsidP="003E1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ru-RU" w:vendorID="64" w:dllVersion="4096" w:nlCheck="1" w:checkStyle="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4F5D"/>
    <w:rsid w:val="00025787"/>
    <w:rsid w:val="00025A5F"/>
    <w:rsid w:val="00055DBA"/>
    <w:rsid w:val="00063BEF"/>
    <w:rsid w:val="00083E34"/>
    <w:rsid w:val="000B58AF"/>
    <w:rsid w:val="000C6962"/>
    <w:rsid w:val="000D15EB"/>
    <w:rsid w:val="000E0563"/>
    <w:rsid w:val="000F1459"/>
    <w:rsid w:val="000F25CC"/>
    <w:rsid w:val="000F2936"/>
    <w:rsid w:val="00101E0B"/>
    <w:rsid w:val="00110BB8"/>
    <w:rsid w:val="001178B6"/>
    <w:rsid w:val="00127C9F"/>
    <w:rsid w:val="00136F48"/>
    <w:rsid w:val="0015045A"/>
    <w:rsid w:val="001518D1"/>
    <w:rsid w:val="00160DAA"/>
    <w:rsid w:val="0016219A"/>
    <w:rsid w:val="00163E45"/>
    <w:rsid w:val="00173C3F"/>
    <w:rsid w:val="001750A1"/>
    <w:rsid w:val="00177751"/>
    <w:rsid w:val="00182219"/>
    <w:rsid w:val="001A7FAD"/>
    <w:rsid w:val="001B60EB"/>
    <w:rsid w:val="001D04F5"/>
    <w:rsid w:val="001D7280"/>
    <w:rsid w:val="001D7A73"/>
    <w:rsid w:val="0020778B"/>
    <w:rsid w:val="0021563B"/>
    <w:rsid w:val="0022430B"/>
    <w:rsid w:val="002435F9"/>
    <w:rsid w:val="00245B4C"/>
    <w:rsid w:val="0029390A"/>
    <w:rsid w:val="002A2C8F"/>
    <w:rsid w:val="002A4621"/>
    <w:rsid w:val="002B049C"/>
    <w:rsid w:val="002D3754"/>
    <w:rsid w:val="002D53E3"/>
    <w:rsid w:val="002D7108"/>
    <w:rsid w:val="002E0447"/>
    <w:rsid w:val="002F6EDB"/>
    <w:rsid w:val="0030334B"/>
    <w:rsid w:val="00306AEF"/>
    <w:rsid w:val="00313FAB"/>
    <w:rsid w:val="00352B0B"/>
    <w:rsid w:val="0037185D"/>
    <w:rsid w:val="00396605"/>
    <w:rsid w:val="003B232E"/>
    <w:rsid w:val="003C159A"/>
    <w:rsid w:val="003C6B98"/>
    <w:rsid w:val="003D1B44"/>
    <w:rsid w:val="003E1630"/>
    <w:rsid w:val="003F09C9"/>
    <w:rsid w:val="003F4B0E"/>
    <w:rsid w:val="00405434"/>
    <w:rsid w:val="004154F7"/>
    <w:rsid w:val="00416E50"/>
    <w:rsid w:val="00425488"/>
    <w:rsid w:val="0042633D"/>
    <w:rsid w:val="00437CEF"/>
    <w:rsid w:val="00440457"/>
    <w:rsid w:val="004574B9"/>
    <w:rsid w:val="00466820"/>
    <w:rsid w:val="004860D1"/>
    <w:rsid w:val="00486349"/>
    <w:rsid w:val="004A6126"/>
    <w:rsid w:val="004A7A55"/>
    <w:rsid w:val="004B5651"/>
    <w:rsid w:val="004C70EE"/>
    <w:rsid w:val="004D050A"/>
    <w:rsid w:val="004F5446"/>
    <w:rsid w:val="005309AC"/>
    <w:rsid w:val="005332E8"/>
    <w:rsid w:val="005660FA"/>
    <w:rsid w:val="00572CA1"/>
    <w:rsid w:val="005A081E"/>
    <w:rsid w:val="005A0C90"/>
    <w:rsid w:val="005B1F53"/>
    <w:rsid w:val="005C0315"/>
    <w:rsid w:val="005D6452"/>
    <w:rsid w:val="005F22C9"/>
    <w:rsid w:val="006041E3"/>
    <w:rsid w:val="006064E6"/>
    <w:rsid w:val="006137A1"/>
    <w:rsid w:val="00643D14"/>
    <w:rsid w:val="006564FD"/>
    <w:rsid w:val="00661BD3"/>
    <w:rsid w:val="0067577D"/>
    <w:rsid w:val="00675DF1"/>
    <w:rsid w:val="00685E3E"/>
    <w:rsid w:val="00694272"/>
    <w:rsid w:val="006A2878"/>
    <w:rsid w:val="006A2FBC"/>
    <w:rsid w:val="006A469F"/>
    <w:rsid w:val="006E06B8"/>
    <w:rsid w:val="006E6695"/>
    <w:rsid w:val="006E66C6"/>
    <w:rsid w:val="006F0166"/>
    <w:rsid w:val="006F0E52"/>
    <w:rsid w:val="006F6DEB"/>
    <w:rsid w:val="00702812"/>
    <w:rsid w:val="00704B3D"/>
    <w:rsid w:val="007071EF"/>
    <w:rsid w:val="00712F9B"/>
    <w:rsid w:val="007220D5"/>
    <w:rsid w:val="007253AB"/>
    <w:rsid w:val="0072576A"/>
    <w:rsid w:val="00754919"/>
    <w:rsid w:val="007773B3"/>
    <w:rsid w:val="0079402E"/>
    <w:rsid w:val="007A274E"/>
    <w:rsid w:val="007A2E48"/>
    <w:rsid w:val="007A6C39"/>
    <w:rsid w:val="007E003B"/>
    <w:rsid w:val="007F4DEC"/>
    <w:rsid w:val="00803C41"/>
    <w:rsid w:val="00804312"/>
    <w:rsid w:val="00804C8C"/>
    <w:rsid w:val="00807FCA"/>
    <w:rsid w:val="00817A95"/>
    <w:rsid w:val="008208F9"/>
    <w:rsid w:val="0082124D"/>
    <w:rsid w:val="00831AD0"/>
    <w:rsid w:val="00843071"/>
    <w:rsid w:val="00845A16"/>
    <w:rsid w:val="008466CC"/>
    <w:rsid w:val="008576B0"/>
    <w:rsid w:val="00863FC8"/>
    <w:rsid w:val="00870900"/>
    <w:rsid w:val="008739E0"/>
    <w:rsid w:val="008900AD"/>
    <w:rsid w:val="0089182D"/>
    <w:rsid w:val="008B284B"/>
    <w:rsid w:val="008D14BE"/>
    <w:rsid w:val="008D7546"/>
    <w:rsid w:val="008F5930"/>
    <w:rsid w:val="00903E79"/>
    <w:rsid w:val="0090705F"/>
    <w:rsid w:val="009249EB"/>
    <w:rsid w:val="009269F5"/>
    <w:rsid w:val="009347A4"/>
    <w:rsid w:val="009404CF"/>
    <w:rsid w:val="009466B3"/>
    <w:rsid w:val="00946B98"/>
    <w:rsid w:val="00955906"/>
    <w:rsid w:val="00962133"/>
    <w:rsid w:val="009753A1"/>
    <w:rsid w:val="0098127B"/>
    <w:rsid w:val="009914A2"/>
    <w:rsid w:val="00992219"/>
    <w:rsid w:val="0099273F"/>
    <w:rsid w:val="009A453C"/>
    <w:rsid w:val="009B7602"/>
    <w:rsid w:val="009C2253"/>
    <w:rsid w:val="009E0500"/>
    <w:rsid w:val="009E2608"/>
    <w:rsid w:val="009F6DB9"/>
    <w:rsid w:val="00A027FD"/>
    <w:rsid w:val="00A173D3"/>
    <w:rsid w:val="00A254E6"/>
    <w:rsid w:val="00A3561A"/>
    <w:rsid w:val="00A3699F"/>
    <w:rsid w:val="00A47D35"/>
    <w:rsid w:val="00A533E3"/>
    <w:rsid w:val="00A821F2"/>
    <w:rsid w:val="00A9400D"/>
    <w:rsid w:val="00A96B26"/>
    <w:rsid w:val="00AC0924"/>
    <w:rsid w:val="00AC0E78"/>
    <w:rsid w:val="00AE38E3"/>
    <w:rsid w:val="00AF7478"/>
    <w:rsid w:val="00B27955"/>
    <w:rsid w:val="00B53FCA"/>
    <w:rsid w:val="00B549FB"/>
    <w:rsid w:val="00B57E15"/>
    <w:rsid w:val="00B6649F"/>
    <w:rsid w:val="00B7233D"/>
    <w:rsid w:val="00B7575E"/>
    <w:rsid w:val="00B84BA3"/>
    <w:rsid w:val="00B960E5"/>
    <w:rsid w:val="00BA7CDF"/>
    <w:rsid w:val="00BC17BF"/>
    <w:rsid w:val="00BD7551"/>
    <w:rsid w:val="00BE6648"/>
    <w:rsid w:val="00C0388C"/>
    <w:rsid w:val="00C1627C"/>
    <w:rsid w:val="00C25637"/>
    <w:rsid w:val="00C351DF"/>
    <w:rsid w:val="00C42B11"/>
    <w:rsid w:val="00C4680D"/>
    <w:rsid w:val="00C51275"/>
    <w:rsid w:val="00C64166"/>
    <w:rsid w:val="00C80EFC"/>
    <w:rsid w:val="00C91E53"/>
    <w:rsid w:val="00CA1A24"/>
    <w:rsid w:val="00CA2FF3"/>
    <w:rsid w:val="00CB3BF3"/>
    <w:rsid w:val="00CB5753"/>
    <w:rsid w:val="00CB73B3"/>
    <w:rsid w:val="00CC2367"/>
    <w:rsid w:val="00CD2800"/>
    <w:rsid w:val="00CD34A5"/>
    <w:rsid w:val="00CD3CE6"/>
    <w:rsid w:val="00CE4DEB"/>
    <w:rsid w:val="00CF28CB"/>
    <w:rsid w:val="00CF3911"/>
    <w:rsid w:val="00D1388F"/>
    <w:rsid w:val="00D20208"/>
    <w:rsid w:val="00D2619D"/>
    <w:rsid w:val="00D43D54"/>
    <w:rsid w:val="00D7106B"/>
    <w:rsid w:val="00D871FA"/>
    <w:rsid w:val="00D87246"/>
    <w:rsid w:val="00DB5DC0"/>
    <w:rsid w:val="00DC4C29"/>
    <w:rsid w:val="00DD54A4"/>
    <w:rsid w:val="00DE33A4"/>
    <w:rsid w:val="00DE615C"/>
    <w:rsid w:val="00E06F47"/>
    <w:rsid w:val="00E32E39"/>
    <w:rsid w:val="00E37DAA"/>
    <w:rsid w:val="00E4624C"/>
    <w:rsid w:val="00E52FE4"/>
    <w:rsid w:val="00E758F6"/>
    <w:rsid w:val="00E86E39"/>
    <w:rsid w:val="00EA11B9"/>
    <w:rsid w:val="00EA1F55"/>
    <w:rsid w:val="00EB3C09"/>
    <w:rsid w:val="00EC1376"/>
    <w:rsid w:val="00EC6D30"/>
    <w:rsid w:val="00EF218C"/>
    <w:rsid w:val="00EF7A4C"/>
    <w:rsid w:val="00F056EA"/>
    <w:rsid w:val="00F13EC4"/>
    <w:rsid w:val="00F26CF5"/>
    <w:rsid w:val="00F5688C"/>
    <w:rsid w:val="00F60B65"/>
    <w:rsid w:val="00F61F3D"/>
    <w:rsid w:val="00F669CA"/>
    <w:rsid w:val="00F712A0"/>
    <w:rsid w:val="00F87669"/>
    <w:rsid w:val="00F945D5"/>
    <w:rsid w:val="00F949E8"/>
    <w:rsid w:val="00FB4820"/>
    <w:rsid w:val="00FB7BE6"/>
    <w:rsid w:val="00FC25DE"/>
    <w:rsid w:val="00FC4872"/>
    <w:rsid w:val="00FD3D91"/>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EC7A4-DFFF-4715-86B9-DB9278C5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2023-02-24T09:12:00Z</dcterms:created>
  <dcterms:modified xsi:type="dcterms:W3CDTF">2023-03-31T06:08:00Z</dcterms:modified>
</cp:coreProperties>
</file>