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EE" w:rsidRPr="00242C2C" w:rsidRDefault="006D0DEE" w:rsidP="006D0DEE">
      <w:pPr>
        <w:ind w:left="9912" w:right="-25" w:hanging="2892"/>
        <w:rPr>
          <w:b/>
          <w:sz w:val="24"/>
          <w:szCs w:val="24"/>
        </w:rPr>
      </w:pPr>
      <w:r w:rsidRPr="00242C2C">
        <w:rPr>
          <w:b/>
          <w:sz w:val="24"/>
          <w:szCs w:val="24"/>
        </w:rPr>
        <w:t xml:space="preserve">Додаток </w:t>
      </w:r>
      <w:r>
        <w:rPr>
          <w:b/>
          <w:sz w:val="24"/>
          <w:szCs w:val="24"/>
        </w:rPr>
        <w:t>1</w:t>
      </w:r>
    </w:p>
    <w:p w:rsidR="006D0DEE" w:rsidRPr="00242C2C" w:rsidRDefault="006D0DEE" w:rsidP="006D0DEE">
      <w:pPr>
        <w:ind w:left="6237" w:right="-23"/>
        <w:rPr>
          <w:sz w:val="24"/>
          <w:szCs w:val="24"/>
        </w:rPr>
      </w:pPr>
      <w:r w:rsidRPr="00242C2C">
        <w:rPr>
          <w:b/>
          <w:sz w:val="24"/>
          <w:szCs w:val="24"/>
        </w:rPr>
        <w:t>до тендерної документації</w:t>
      </w:r>
    </w:p>
    <w:p w:rsidR="006D0DEE" w:rsidRPr="00242C2C" w:rsidRDefault="006D0DEE" w:rsidP="006D0DEE">
      <w:pPr>
        <w:tabs>
          <w:tab w:val="left" w:pos="6660"/>
        </w:tabs>
        <w:ind w:right="-25"/>
        <w:rPr>
          <w:sz w:val="24"/>
          <w:szCs w:val="24"/>
        </w:rPr>
      </w:pPr>
    </w:p>
    <w:p w:rsidR="007C3F47" w:rsidRPr="00963D88" w:rsidRDefault="007C3F47" w:rsidP="007C3F47">
      <w:pPr>
        <w:jc w:val="center"/>
        <w:rPr>
          <w:b/>
          <w:bCs/>
          <w:sz w:val="26"/>
          <w:szCs w:val="26"/>
        </w:rPr>
      </w:pPr>
      <w:r w:rsidRPr="00963D88">
        <w:rPr>
          <w:b/>
          <w:bCs/>
          <w:sz w:val="26"/>
          <w:szCs w:val="26"/>
        </w:rPr>
        <w:t>Інформація про необхідні технічні, якісні, кількісні характеристики до предмета закупівлі:</w:t>
      </w:r>
    </w:p>
    <w:p w:rsidR="007C3F47" w:rsidRDefault="007C3F47" w:rsidP="007C3F47">
      <w:pPr>
        <w:rPr>
          <w:sz w:val="26"/>
          <w:szCs w:val="26"/>
        </w:rPr>
      </w:pPr>
    </w:p>
    <w:p w:rsidR="007C3F47" w:rsidRDefault="007C3F47" w:rsidP="007C3F47">
      <w:pPr>
        <w:shd w:val="clear" w:color="auto" w:fill="FFFFFF"/>
        <w:jc w:val="both"/>
        <w:rPr>
          <w:sz w:val="26"/>
          <w:szCs w:val="26"/>
        </w:rPr>
      </w:pPr>
      <w:r>
        <w:rPr>
          <w:sz w:val="26"/>
          <w:szCs w:val="26"/>
        </w:rPr>
        <w:t xml:space="preserve">Предмет закупівлі: </w:t>
      </w:r>
      <w:r>
        <w:rPr>
          <w:color w:val="000000"/>
          <w:sz w:val="26"/>
          <w:szCs w:val="26"/>
          <w:u w:val="single"/>
        </w:rPr>
        <w:t>Нафта і дистиляти (</w:t>
      </w:r>
      <w:proofErr w:type="spellStart"/>
      <w:r>
        <w:rPr>
          <w:color w:val="000000"/>
          <w:sz w:val="26"/>
          <w:szCs w:val="26"/>
          <w:u w:val="single"/>
        </w:rPr>
        <w:t>ДК</w:t>
      </w:r>
      <w:proofErr w:type="spellEnd"/>
      <w:r>
        <w:rPr>
          <w:color w:val="000000"/>
          <w:sz w:val="26"/>
          <w:szCs w:val="26"/>
          <w:u w:val="single"/>
        </w:rPr>
        <w:t xml:space="preserve"> 021:2015 09130000-9) </w:t>
      </w:r>
      <w:r>
        <w:rPr>
          <w:sz w:val="26"/>
          <w:szCs w:val="26"/>
          <w:u w:val="single"/>
        </w:rPr>
        <w:t>(Б</w:t>
      </w:r>
      <w:r>
        <w:rPr>
          <w:bCs/>
          <w:sz w:val="26"/>
          <w:szCs w:val="26"/>
          <w:u w:val="single"/>
        </w:rPr>
        <w:t xml:space="preserve">ензин А-95 </w:t>
      </w:r>
      <w:r>
        <w:rPr>
          <w:bCs/>
          <w:sz w:val="26"/>
          <w:szCs w:val="26"/>
          <w:u w:val="single"/>
        </w:rPr>
        <w:br/>
        <w:t>в талонах номіналом 10 л, 20 л)</w:t>
      </w:r>
      <w:r w:rsidRPr="00E91037">
        <w:rPr>
          <w:bCs/>
          <w:sz w:val="26"/>
          <w:szCs w:val="26"/>
          <w:u w:val="single"/>
          <w:lang w:val="ru-RU"/>
        </w:rPr>
        <w:t xml:space="preserve"> </w:t>
      </w:r>
      <w:r>
        <w:rPr>
          <w:sz w:val="26"/>
          <w:szCs w:val="26"/>
        </w:rPr>
        <w:t>в кількості, асортименті та з технічними характеристиками відповідно до специфікації, наведеної нижче:</w:t>
      </w:r>
    </w:p>
    <w:p w:rsidR="007C3F47" w:rsidRDefault="007C3F47" w:rsidP="007C3F47">
      <w:pPr>
        <w:rPr>
          <w:sz w:val="26"/>
          <w:szCs w:val="26"/>
        </w:rPr>
      </w:pPr>
    </w:p>
    <w:tbl>
      <w:tblPr>
        <w:tblW w:w="9921" w:type="dxa"/>
        <w:tblInd w:w="-3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673"/>
        <w:gridCol w:w="3262"/>
        <w:gridCol w:w="1280"/>
        <w:gridCol w:w="1601"/>
        <w:gridCol w:w="3105"/>
      </w:tblGrid>
      <w:tr w:rsidR="007C3F47" w:rsidTr="00367660">
        <w:trPr>
          <w:trHeight w:val="1023"/>
        </w:trPr>
        <w:tc>
          <w:tcPr>
            <w:tcW w:w="676" w:type="dxa"/>
            <w:tcBorders>
              <w:top w:val="single" w:sz="4" w:space="0" w:color="000001"/>
              <w:left w:val="single" w:sz="4" w:space="0" w:color="000001"/>
              <w:bottom w:val="single" w:sz="4" w:space="0" w:color="000001"/>
            </w:tcBorders>
            <w:shd w:val="clear" w:color="auto" w:fill="FFFFFF"/>
            <w:tcMar>
              <w:left w:w="98" w:type="dxa"/>
            </w:tcMar>
          </w:tcPr>
          <w:p w:rsidR="007C3F47" w:rsidRDefault="007C3F47" w:rsidP="00367660">
            <w:pPr>
              <w:snapToGrid w:val="0"/>
              <w:jc w:val="center"/>
              <w:rPr>
                <w:b/>
                <w:sz w:val="26"/>
                <w:szCs w:val="26"/>
              </w:rPr>
            </w:pPr>
          </w:p>
          <w:p w:rsidR="007C3F47" w:rsidRDefault="007C3F47" w:rsidP="00367660">
            <w:pPr>
              <w:jc w:val="center"/>
              <w:rPr>
                <w:b/>
                <w:sz w:val="26"/>
                <w:szCs w:val="26"/>
              </w:rPr>
            </w:pPr>
            <w:r>
              <w:rPr>
                <w:b/>
                <w:sz w:val="26"/>
                <w:szCs w:val="26"/>
              </w:rPr>
              <w:t>№</w:t>
            </w:r>
          </w:p>
          <w:p w:rsidR="007C3F47" w:rsidRDefault="007C3F47" w:rsidP="00367660">
            <w:pPr>
              <w:jc w:val="center"/>
              <w:rPr>
                <w:sz w:val="26"/>
                <w:szCs w:val="26"/>
              </w:rPr>
            </w:pPr>
            <w:proofErr w:type="spellStart"/>
            <w:r>
              <w:rPr>
                <w:b/>
                <w:sz w:val="26"/>
                <w:szCs w:val="26"/>
              </w:rPr>
              <w:t>п\п</w:t>
            </w:r>
            <w:proofErr w:type="spellEnd"/>
          </w:p>
        </w:tc>
        <w:tc>
          <w:tcPr>
            <w:tcW w:w="3292" w:type="dxa"/>
            <w:tcBorders>
              <w:top w:val="single" w:sz="4" w:space="0" w:color="000001"/>
              <w:left w:val="single" w:sz="4" w:space="0" w:color="000001"/>
              <w:bottom w:val="single" w:sz="4" w:space="0" w:color="000001"/>
            </w:tcBorders>
            <w:shd w:val="clear" w:color="auto" w:fill="FFFFFF"/>
            <w:tcMar>
              <w:left w:w="98" w:type="dxa"/>
            </w:tcMar>
          </w:tcPr>
          <w:p w:rsidR="007C3F47" w:rsidRDefault="007C3F47" w:rsidP="00367660">
            <w:pPr>
              <w:snapToGrid w:val="0"/>
              <w:jc w:val="center"/>
              <w:rPr>
                <w:b/>
                <w:sz w:val="26"/>
                <w:szCs w:val="26"/>
              </w:rPr>
            </w:pPr>
          </w:p>
          <w:p w:rsidR="007C3F47" w:rsidRDefault="007C3F47" w:rsidP="00367660">
            <w:pPr>
              <w:jc w:val="center"/>
              <w:rPr>
                <w:sz w:val="26"/>
                <w:szCs w:val="26"/>
              </w:rPr>
            </w:pPr>
            <w:r>
              <w:rPr>
                <w:b/>
                <w:sz w:val="26"/>
                <w:szCs w:val="26"/>
              </w:rPr>
              <w:t>Найменування нафтопродуктів</w:t>
            </w:r>
          </w:p>
        </w:tc>
        <w:tc>
          <w:tcPr>
            <w:tcW w:w="1215" w:type="dxa"/>
            <w:tcBorders>
              <w:top w:val="single" w:sz="4" w:space="0" w:color="000001"/>
              <w:left w:val="single" w:sz="4" w:space="0" w:color="000001"/>
              <w:bottom w:val="single" w:sz="4" w:space="0" w:color="000001"/>
            </w:tcBorders>
            <w:shd w:val="clear" w:color="auto" w:fill="FFFFFF"/>
            <w:tcMar>
              <w:left w:w="98" w:type="dxa"/>
            </w:tcMar>
          </w:tcPr>
          <w:p w:rsidR="007C3F47" w:rsidRDefault="007C3F47" w:rsidP="00367660">
            <w:pPr>
              <w:snapToGrid w:val="0"/>
              <w:jc w:val="center"/>
              <w:rPr>
                <w:b/>
                <w:sz w:val="26"/>
                <w:szCs w:val="26"/>
              </w:rPr>
            </w:pPr>
          </w:p>
          <w:p w:rsidR="007C3F47" w:rsidRDefault="007C3F47" w:rsidP="00367660">
            <w:pPr>
              <w:jc w:val="center"/>
              <w:rPr>
                <w:b/>
                <w:sz w:val="26"/>
                <w:szCs w:val="26"/>
              </w:rPr>
            </w:pPr>
            <w:r>
              <w:rPr>
                <w:b/>
                <w:sz w:val="26"/>
                <w:szCs w:val="26"/>
              </w:rPr>
              <w:t>Одиниця виміру</w:t>
            </w:r>
          </w:p>
        </w:tc>
        <w:tc>
          <w:tcPr>
            <w:tcW w:w="1607" w:type="dxa"/>
            <w:tcBorders>
              <w:top w:val="single" w:sz="4" w:space="0" w:color="000001"/>
              <w:left w:val="single" w:sz="4" w:space="0" w:color="000001"/>
              <w:bottom w:val="single" w:sz="4" w:space="0" w:color="000001"/>
            </w:tcBorders>
            <w:shd w:val="clear" w:color="auto" w:fill="FFFFFF"/>
            <w:tcMar>
              <w:left w:w="98" w:type="dxa"/>
            </w:tcMar>
          </w:tcPr>
          <w:p w:rsidR="007C3F47" w:rsidRDefault="007C3F47" w:rsidP="00367660">
            <w:pPr>
              <w:snapToGrid w:val="0"/>
              <w:jc w:val="center"/>
              <w:rPr>
                <w:b/>
                <w:sz w:val="26"/>
                <w:szCs w:val="26"/>
              </w:rPr>
            </w:pPr>
          </w:p>
          <w:p w:rsidR="007C3F47" w:rsidRDefault="007C3F47" w:rsidP="00367660">
            <w:pPr>
              <w:jc w:val="center"/>
              <w:rPr>
                <w:sz w:val="26"/>
                <w:szCs w:val="26"/>
              </w:rPr>
            </w:pPr>
            <w:r>
              <w:rPr>
                <w:b/>
                <w:sz w:val="26"/>
                <w:szCs w:val="26"/>
              </w:rPr>
              <w:t>Кількість</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C3F47" w:rsidRDefault="007C3F47" w:rsidP="00367660">
            <w:pPr>
              <w:jc w:val="center"/>
              <w:rPr>
                <w:sz w:val="26"/>
                <w:szCs w:val="26"/>
              </w:rPr>
            </w:pPr>
            <w:r>
              <w:rPr>
                <w:b/>
                <w:sz w:val="26"/>
                <w:szCs w:val="26"/>
              </w:rPr>
              <w:t xml:space="preserve">Технічні характеристики </w:t>
            </w:r>
          </w:p>
        </w:tc>
      </w:tr>
      <w:tr w:rsidR="007C3F47" w:rsidTr="00367660">
        <w:trPr>
          <w:trHeight w:val="399"/>
        </w:trPr>
        <w:tc>
          <w:tcPr>
            <w:tcW w:w="676" w:type="dxa"/>
            <w:tcBorders>
              <w:top w:val="single" w:sz="4" w:space="0" w:color="000001"/>
              <w:left w:val="single" w:sz="4" w:space="0" w:color="000001"/>
              <w:bottom w:val="single" w:sz="4" w:space="0" w:color="000001"/>
            </w:tcBorders>
            <w:shd w:val="clear" w:color="auto" w:fill="FFFFFF"/>
            <w:tcMar>
              <w:left w:w="98" w:type="dxa"/>
            </w:tcMar>
          </w:tcPr>
          <w:p w:rsidR="007C3F47" w:rsidRDefault="007C3F47" w:rsidP="00367660">
            <w:pPr>
              <w:jc w:val="center"/>
              <w:rPr>
                <w:b/>
                <w:sz w:val="26"/>
                <w:szCs w:val="26"/>
              </w:rPr>
            </w:pPr>
            <w:r>
              <w:rPr>
                <w:b/>
                <w:sz w:val="26"/>
                <w:szCs w:val="26"/>
              </w:rPr>
              <w:t>1</w:t>
            </w:r>
          </w:p>
        </w:tc>
        <w:tc>
          <w:tcPr>
            <w:tcW w:w="3292" w:type="dxa"/>
            <w:tcBorders>
              <w:top w:val="single" w:sz="4" w:space="0" w:color="000001"/>
              <w:left w:val="single" w:sz="4" w:space="0" w:color="000001"/>
              <w:bottom w:val="single" w:sz="4" w:space="0" w:color="000001"/>
            </w:tcBorders>
            <w:shd w:val="clear" w:color="auto" w:fill="FFFFFF"/>
            <w:tcMar>
              <w:left w:w="98" w:type="dxa"/>
            </w:tcMar>
          </w:tcPr>
          <w:p w:rsidR="007C3F47" w:rsidRDefault="007C3F47" w:rsidP="00367660">
            <w:pPr>
              <w:jc w:val="center"/>
              <w:rPr>
                <w:b/>
                <w:sz w:val="26"/>
                <w:szCs w:val="26"/>
              </w:rPr>
            </w:pPr>
            <w:r>
              <w:rPr>
                <w:b/>
                <w:sz w:val="26"/>
                <w:szCs w:val="26"/>
              </w:rPr>
              <w:t>Бензин А-95</w:t>
            </w:r>
          </w:p>
        </w:tc>
        <w:tc>
          <w:tcPr>
            <w:tcW w:w="1215" w:type="dxa"/>
            <w:tcBorders>
              <w:top w:val="single" w:sz="4" w:space="0" w:color="000001"/>
              <w:left w:val="single" w:sz="4" w:space="0" w:color="000001"/>
              <w:bottom w:val="single" w:sz="4" w:space="0" w:color="000001"/>
            </w:tcBorders>
            <w:shd w:val="clear" w:color="auto" w:fill="FFFFFF"/>
            <w:tcMar>
              <w:left w:w="98" w:type="dxa"/>
            </w:tcMar>
          </w:tcPr>
          <w:p w:rsidR="007C3F47" w:rsidRDefault="007C3F47" w:rsidP="00367660">
            <w:pPr>
              <w:jc w:val="center"/>
              <w:rPr>
                <w:b/>
                <w:sz w:val="26"/>
                <w:szCs w:val="26"/>
              </w:rPr>
            </w:pPr>
            <w:r>
              <w:rPr>
                <w:b/>
                <w:sz w:val="26"/>
                <w:szCs w:val="26"/>
              </w:rPr>
              <w:t>л</w:t>
            </w:r>
          </w:p>
        </w:tc>
        <w:tc>
          <w:tcPr>
            <w:tcW w:w="1607" w:type="dxa"/>
            <w:tcBorders>
              <w:top w:val="single" w:sz="4" w:space="0" w:color="000001"/>
              <w:left w:val="single" w:sz="4" w:space="0" w:color="000001"/>
              <w:bottom w:val="single" w:sz="4" w:space="0" w:color="000001"/>
            </w:tcBorders>
            <w:shd w:val="clear" w:color="auto" w:fill="FFFFFF"/>
            <w:tcMar>
              <w:left w:w="98" w:type="dxa"/>
            </w:tcMar>
          </w:tcPr>
          <w:p w:rsidR="007C3F47" w:rsidRDefault="007C3F47" w:rsidP="00367660">
            <w:pPr>
              <w:snapToGrid w:val="0"/>
              <w:jc w:val="center"/>
              <w:rPr>
                <w:b/>
                <w:sz w:val="26"/>
                <w:szCs w:val="26"/>
              </w:rPr>
            </w:pPr>
            <w:r>
              <w:rPr>
                <w:b/>
                <w:sz w:val="26"/>
                <w:szCs w:val="26"/>
                <w:lang w:val="en-US" w:eastAsia="uk-UA"/>
              </w:rPr>
              <w:t>4000</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7C3F47" w:rsidRDefault="007C3F47" w:rsidP="00367660">
            <w:pPr>
              <w:jc w:val="center"/>
              <w:rPr>
                <w:b/>
                <w:sz w:val="26"/>
                <w:szCs w:val="26"/>
              </w:rPr>
            </w:pPr>
            <w:r>
              <w:rPr>
                <w:b/>
                <w:sz w:val="26"/>
                <w:szCs w:val="26"/>
              </w:rPr>
              <w:t xml:space="preserve">Талони номіналом </w:t>
            </w:r>
          </w:p>
          <w:p w:rsidR="007C3F47" w:rsidRDefault="007C3F47" w:rsidP="00367660">
            <w:pPr>
              <w:jc w:val="center"/>
              <w:rPr>
                <w:sz w:val="26"/>
                <w:szCs w:val="26"/>
              </w:rPr>
            </w:pPr>
            <w:r>
              <w:rPr>
                <w:b/>
                <w:sz w:val="26"/>
                <w:szCs w:val="26"/>
              </w:rPr>
              <w:t>10 л, 20 л.</w:t>
            </w:r>
          </w:p>
        </w:tc>
      </w:tr>
    </w:tbl>
    <w:p w:rsidR="007C3F47" w:rsidRDefault="007C3F47" w:rsidP="007C3F47">
      <w:pPr>
        <w:rPr>
          <w:sz w:val="26"/>
          <w:szCs w:val="26"/>
        </w:rPr>
      </w:pPr>
    </w:p>
    <w:p w:rsidR="007C3F47" w:rsidRDefault="007C3F47" w:rsidP="007C3F47">
      <w:pPr>
        <w:numPr>
          <w:ilvl w:val="0"/>
          <w:numId w:val="3"/>
        </w:numPr>
        <w:suppressAutoHyphens/>
        <w:jc w:val="both"/>
        <w:rPr>
          <w:sz w:val="26"/>
          <w:szCs w:val="26"/>
        </w:rPr>
      </w:pPr>
      <w:r>
        <w:rPr>
          <w:sz w:val="26"/>
          <w:szCs w:val="26"/>
        </w:rPr>
        <w:t>Учасник повинен мати розвинену мережу власних, орендованих або партнерських АЗС у Черкаській області (</w:t>
      </w:r>
      <w:r>
        <w:rPr>
          <w:color w:val="000000"/>
          <w:sz w:val="26"/>
          <w:szCs w:val="26"/>
        </w:rPr>
        <w:t xml:space="preserve">м. Городище, м. </w:t>
      </w:r>
      <w:proofErr w:type="spellStart"/>
      <w:r>
        <w:rPr>
          <w:color w:val="000000"/>
          <w:sz w:val="26"/>
          <w:szCs w:val="26"/>
        </w:rPr>
        <w:t>Звенигородка</w:t>
      </w:r>
      <w:proofErr w:type="spellEnd"/>
      <w:r>
        <w:rPr>
          <w:color w:val="000000"/>
          <w:sz w:val="26"/>
          <w:szCs w:val="26"/>
        </w:rPr>
        <w:t xml:space="preserve">,  м. Золотоноша, м. Кам’янка, </w:t>
      </w:r>
      <w:proofErr w:type="spellStart"/>
      <w:r>
        <w:rPr>
          <w:color w:val="000000"/>
          <w:sz w:val="26"/>
          <w:szCs w:val="26"/>
        </w:rPr>
        <w:t>смт</w:t>
      </w:r>
      <w:proofErr w:type="spellEnd"/>
      <w:r>
        <w:rPr>
          <w:color w:val="000000"/>
          <w:sz w:val="26"/>
          <w:szCs w:val="26"/>
        </w:rPr>
        <w:t xml:space="preserve"> Катеринопіль, </w:t>
      </w:r>
      <w:proofErr w:type="spellStart"/>
      <w:r>
        <w:rPr>
          <w:color w:val="000000"/>
          <w:sz w:val="26"/>
          <w:szCs w:val="26"/>
        </w:rPr>
        <w:t>смт</w:t>
      </w:r>
      <w:proofErr w:type="spellEnd"/>
      <w:r>
        <w:rPr>
          <w:color w:val="000000"/>
          <w:sz w:val="26"/>
          <w:szCs w:val="26"/>
        </w:rPr>
        <w:t> </w:t>
      </w:r>
      <w:proofErr w:type="spellStart"/>
      <w:r>
        <w:rPr>
          <w:color w:val="000000"/>
          <w:sz w:val="26"/>
          <w:szCs w:val="26"/>
        </w:rPr>
        <w:t>Лисянка</w:t>
      </w:r>
      <w:proofErr w:type="spellEnd"/>
      <w:r>
        <w:rPr>
          <w:color w:val="000000"/>
          <w:sz w:val="26"/>
          <w:szCs w:val="26"/>
        </w:rPr>
        <w:t xml:space="preserve">, </w:t>
      </w:r>
      <w:proofErr w:type="spellStart"/>
      <w:r w:rsidRPr="00A83588">
        <w:rPr>
          <w:color w:val="000000"/>
          <w:sz w:val="26"/>
          <w:szCs w:val="26"/>
          <w:lang w:val="ru-RU"/>
        </w:rPr>
        <w:t>смт</w:t>
      </w:r>
      <w:proofErr w:type="spellEnd"/>
      <w:r w:rsidRPr="00A83588">
        <w:rPr>
          <w:color w:val="000000"/>
          <w:sz w:val="26"/>
          <w:szCs w:val="26"/>
          <w:lang w:val="ru-RU"/>
        </w:rPr>
        <w:t xml:space="preserve"> </w:t>
      </w:r>
      <w:proofErr w:type="spellStart"/>
      <w:r w:rsidRPr="00A83588">
        <w:rPr>
          <w:color w:val="000000"/>
          <w:sz w:val="26"/>
          <w:szCs w:val="26"/>
          <w:lang w:val="ru-RU"/>
        </w:rPr>
        <w:t>Драбів</w:t>
      </w:r>
      <w:proofErr w:type="spellEnd"/>
      <w:r w:rsidRPr="00A83588">
        <w:rPr>
          <w:color w:val="000000"/>
          <w:sz w:val="26"/>
          <w:szCs w:val="26"/>
          <w:lang w:val="ru-RU"/>
        </w:rPr>
        <w:t xml:space="preserve">, </w:t>
      </w:r>
      <w:r>
        <w:rPr>
          <w:color w:val="000000"/>
          <w:sz w:val="26"/>
          <w:szCs w:val="26"/>
        </w:rPr>
        <w:t>м. </w:t>
      </w:r>
      <w:proofErr w:type="spellStart"/>
      <w:r>
        <w:rPr>
          <w:color w:val="000000"/>
          <w:sz w:val="26"/>
          <w:szCs w:val="26"/>
        </w:rPr>
        <w:t>Христинівка</w:t>
      </w:r>
      <w:proofErr w:type="spellEnd"/>
      <w:r>
        <w:rPr>
          <w:color w:val="000000"/>
          <w:sz w:val="26"/>
          <w:szCs w:val="26"/>
        </w:rPr>
        <w:t>, м.</w:t>
      </w:r>
      <w:r>
        <w:rPr>
          <w:color w:val="000000"/>
          <w:sz w:val="26"/>
          <w:szCs w:val="26"/>
          <w:lang w:val="en-US"/>
        </w:rPr>
        <w:t> </w:t>
      </w:r>
      <w:r>
        <w:rPr>
          <w:color w:val="000000"/>
          <w:sz w:val="26"/>
          <w:szCs w:val="26"/>
        </w:rPr>
        <w:t>Черкаси, м. Чигирин, м. Канів, м. Сміла, м. Умань</w:t>
      </w:r>
      <w:r>
        <w:rPr>
          <w:sz w:val="26"/>
          <w:szCs w:val="26"/>
        </w:rPr>
        <w:t>) на яких буде здійснюватись заправка паливо за талонами.</w:t>
      </w:r>
    </w:p>
    <w:p w:rsidR="007C3F47" w:rsidRDefault="007C3F47" w:rsidP="007C3F47">
      <w:pPr>
        <w:numPr>
          <w:ilvl w:val="0"/>
          <w:numId w:val="3"/>
        </w:numPr>
        <w:suppressAutoHyphens/>
        <w:jc w:val="both"/>
        <w:rPr>
          <w:sz w:val="26"/>
          <w:szCs w:val="26"/>
        </w:rPr>
      </w:pPr>
      <w:r>
        <w:rPr>
          <w:sz w:val="26"/>
          <w:szCs w:val="26"/>
        </w:rPr>
        <w:t xml:space="preserve">Якщо АЗС немає в самому населеному пункті, то АЗС має знаходитися </w:t>
      </w:r>
      <w:r>
        <w:rPr>
          <w:sz w:val="26"/>
          <w:szCs w:val="26"/>
        </w:rPr>
        <w:br/>
        <w:t>в радіусі 5 км від нього.</w:t>
      </w:r>
    </w:p>
    <w:p w:rsidR="007C3F47" w:rsidRDefault="007C3F47" w:rsidP="007C3F47">
      <w:pPr>
        <w:numPr>
          <w:ilvl w:val="0"/>
          <w:numId w:val="3"/>
        </w:numPr>
        <w:suppressAutoHyphens/>
        <w:jc w:val="both"/>
        <w:rPr>
          <w:sz w:val="26"/>
          <w:szCs w:val="26"/>
        </w:rPr>
      </w:pPr>
      <w:r>
        <w:rPr>
          <w:sz w:val="26"/>
          <w:szCs w:val="26"/>
        </w:rPr>
        <w:t xml:space="preserve">Строк поставки талонів на пальне номіналом 10 л, 20 л. в загальній кількості </w:t>
      </w:r>
      <w:r w:rsidRPr="00EC601F">
        <w:rPr>
          <w:sz w:val="26"/>
          <w:szCs w:val="26"/>
          <w:lang w:val="ru-RU"/>
        </w:rPr>
        <w:t>4000</w:t>
      </w:r>
      <w:r>
        <w:rPr>
          <w:sz w:val="26"/>
          <w:szCs w:val="26"/>
        </w:rPr>
        <w:t xml:space="preserve"> л здійснюється не пізніше 10 (десяти) календарних днів з моменту підписання сторонами Договору.</w:t>
      </w:r>
    </w:p>
    <w:p w:rsidR="007C3F47" w:rsidRDefault="007C3F47" w:rsidP="007C3F47">
      <w:pPr>
        <w:numPr>
          <w:ilvl w:val="0"/>
          <w:numId w:val="3"/>
        </w:numPr>
        <w:suppressAutoHyphens/>
        <w:jc w:val="both"/>
        <w:rPr>
          <w:sz w:val="26"/>
          <w:szCs w:val="26"/>
        </w:rPr>
      </w:pPr>
      <w:r>
        <w:rPr>
          <w:sz w:val="26"/>
          <w:szCs w:val="26"/>
        </w:rPr>
        <w:t xml:space="preserve">Відпуск Товару здійснюється Учасником цілодобово (за винятками технічних перерв) на АЗС, шляхом заправки автотранспорту Замовника відповідно </w:t>
      </w:r>
      <w:proofErr w:type="spellStart"/>
      <w:r>
        <w:rPr>
          <w:sz w:val="26"/>
          <w:szCs w:val="26"/>
        </w:rPr>
        <w:t>пред</w:t>
      </w:r>
      <w:proofErr w:type="spellEnd"/>
      <w:r>
        <w:rPr>
          <w:sz w:val="26"/>
          <w:szCs w:val="26"/>
          <w:lang w:val="ru-RU"/>
        </w:rPr>
        <w:t>'</w:t>
      </w:r>
      <w:r>
        <w:rPr>
          <w:sz w:val="26"/>
          <w:szCs w:val="26"/>
        </w:rPr>
        <w:t>явлених талонів.</w:t>
      </w:r>
    </w:p>
    <w:p w:rsidR="007C3F47" w:rsidRDefault="007C3F47" w:rsidP="007C3F47">
      <w:pPr>
        <w:numPr>
          <w:ilvl w:val="0"/>
          <w:numId w:val="3"/>
        </w:numPr>
        <w:suppressAutoHyphens/>
        <w:jc w:val="both"/>
        <w:rPr>
          <w:sz w:val="26"/>
          <w:szCs w:val="26"/>
        </w:rPr>
      </w:pPr>
      <w:r>
        <w:rPr>
          <w:sz w:val="26"/>
          <w:szCs w:val="26"/>
        </w:rPr>
        <w:t>Термін дії талонів – не менше одного року з моменту їх отримання.</w:t>
      </w:r>
    </w:p>
    <w:p w:rsidR="007C3F47" w:rsidRDefault="007C3F47" w:rsidP="007C3F47">
      <w:pPr>
        <w:numPr>
          <w:ilvl w:val="0"/>
          <w:numId w:val="3"/>
        </w:numPr>
        <w:suppressAutoHyphens/>
        <w:jc w:val="both"/>
        <w:rPr>
          <w:sz w:val="26"/>
          <w:szCs w:val="26"/>
        </w:rPr>
      </w:pPr>
      <w:r>
        <w:rPr>
          <w:sz w:val="26"/>
          <w:szCs w:val="26"/>
        </w:rPr>
        <w:t xml:space="preserve">Учасник, відповідно до письмової заявки Замовника, у разі необхідності (обмін талонів старого зразку на талони нового зразку, закінчення терміну дії, тощо) забезпечує протягом семи робочих днів безкоштовний обмін талонів без врахування коливання ціни, як протягом дії Договору так і впродовж не менше одного року з дня постачання талонів. </w:t>
      </w:r>
    </w:p>
    <w:p w:rsidR="007C3F47" w:rsidRDefault="007C3F47" w:rsidP="007C3F47">
      <w:pPr>
        <w:numPr>
          <w:ilvl w:val="0"/>
          <w:numId w:val="3"/>
        </w:numPr>
        <w:suppressAutoHyphens/>
        <w:jc w:val="both"/>
        <w:rPr>
          <w:sz w:val="26"/>
          <w:szCs w:val="26"/>
        </w:rPr>
      </w:pPr>
      <w:r>
        <w:rPr>
          <w:sz w:val="26"/>
          <w:szCs w:val="26"/>
        </w:rPr>
        <w:t>Бензин А-95 повинен відповідати діючим державним стандартам, технічним умовам та чинному законодавству щодо показників якості такого виду товару.</w:t>
      </w:r>
    </w:p>
    <w:p w:rsidR="007C3F47" w:rsidRDefault="007C3F47" w:rsidP="007C3F47">
      <w:pPr>
        <w:numPr>
          <w:ilvl w:val="0"/>
          <w:numId w:val="3"/>
        </w:numPr>
        <w:suppressAutoHyphens/>
        <w:jc w:val="both"/>
        <w:rPr>
          <w:sz w:val="26"/>
          <w:szCs w:val="26"/>
        </w:rPr>
      </w:pPr>
      <w:r>
        <w:rPr>
          <w:sz w:val="26"/>
          <w:szCs w:val="26"/>
        </w:rPr>
        <w:t>Відповідність товару технічним, екологічним та іншим вимогам повинна підтверджуватись копіями сертифікатів відповідності, паспортів якості на товар тощо.</w:t>
      </w:r>
    </w:p>
    <w:p w:rsidR="007C3F47" w:rsidRDefault="007C3F47" w:rsidP="007C3F47">
      <w:pPr>
        <w:pStyle w:val="a7"/>
        <w:numPr>
          <w:ilvl w:val="0"/>
          <w:numId w:val="3"/>
        </w:numPr>
        <w:spacing w:before="0" w:after="0"/>
        <w:jc w:val="both"/>
        <w:rPr>
          <w:b/>
          <w:bCs/>
          <w:sz w:val="26"/>
          <w:szCs w:val="26"/>
        </w:rPr>
      </w:pPr>
      <w:r>
        <w:rPr>
          <w:sz w:val="26"/>
          <w:szCs w:val="26"/>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7C3F47" w:rsidRPr="00E91037" w:rsidRDefault="007C3F47" w:rsidP="007C3F47">
      <w:pPr>
        <w:rPr>
          <w:b/>
          <w:bCs/>
          <w:sz w:val="28"/>
          <w:szCs w:val="28"/>
          <w:lang w:val="ru-RU"/>
        </w:rPr>
      </w:pPr>
    </w:p>
    <w:p w:rsidR="007C3F47" w:rsidRPr="00936433" w:rsidRDefault="007C3F47" w:rsidP="007C3F47">
      <w:pPr>
        <w:rPr>
          <w:b/>
          <w:bCs/>
          <w:sz w:val="28"/>
          <w:szCs w:val="28"/>
          <w:lang w:val="ru-RU"/>
        </w:rPr>
      </w:pPr>
    </w:p>
    <w:p w:rsidR="007C3F47" w:rsidRPr="00936433" w:rsidRDefault="007C3F47" w:rsidP="007C3F47">
      <w:pPr>
        <w:rPr>
          <w:b/>
          <w:bCs/>
          <w:sz w:val="28"/>
          <w:szCs w:val="28"/>
          <w:lang w:val="ru-RU"/>
        </w:rPr>
      </w:pPr>
    </w:p>
    <w:p w:rsidR="009E4452" w:rsidRPr="007C3F47" w:rsidRDefault="009E4452" w:rsidP="00833DB5">
      <w:pPr>
        <w:suppressAutoHyphens/>
        <w:spacing w:after="120"/>
        <w:jc w:val="both"/>
        <w:rPr>
          <w:lang w:val="ru-RU"/>
        </w:rPr>
      </w:pPr>
    </w:p>
    <w:sectPr w:rsidR="009E4452" w:rsidRPr="007C3F47" w:rsidSect="007C3F4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
    <w:nsid w:val="7FB1020C"/>
    <w:multiLevelType w:val="hybridMultilevel"/>
    <w:tmpl w:val="810C28FA"/>
    <w:lvl w:ilvl="0" w:tplc="D416EFDC">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0DEE"/>
    <w:rsid w:val="00020905"/>
    <w:rsid w:val="00093E4A"/>
    <w:rsid w:val="000B7C6C"/>
    <w:rsid w:val="0011549F"/>
    <w:rsid w:val="001D60F5"/>
    <w:rsid w:val="001E203E"/>
    <w:rsid w:val="002F5589"/>
    <w:rsid w:val="00304FB6"/>
    <w:rsid w:val="00374965"/>
    <w:rsid w:val="003E0C7B"/>
    <w:rsid w:val="004F1734"/>
    <w:rsid w:val="004F29F8"/>
    <w:rsid w:val="00532385"/>
    <w:rsid w:val="00536D65"/>
    <w:rsid w:val="005A134C"/>
    <w:rsid w:val="006C6776"/>
    <w:rsid w:val="006D0DEE"/>
    <w:rsid w:val="007240C3"/>
    <w:rsid w:val="007326E4"/>
    <w:rsid w:val="0074616A"/>
    <w:rsid w:val="00797C9F"/>
    <w:rsid w:val="007C3F47"/>
    <w:rsid w:val="007D4638"/>
    <w:rsid w:val="00833DB5"/>
    <w:rsid w:val="0083515B"/>
    <w:rsid w:val="00867965"/>
    <w:rsid w:val="00936B27"/>
    <w:rsid w:val="00996AF4"/>
    <w:rsid w:val="009C2A4E"/>
    <w:rsid w:val="009E4452"/>
    <w:rsid w:val="009F154C"/>
    <w:rsid w:val="00A2238E"/>
    <w:rsid w:val="00A84997"/>
    <w:rsid w:val="00B169EE"/>
    <w:rsid w:val="00BF08F3"/>
    <w:rsid w:val="00C02B7A"/>
    <w:rsid w:val="00C02DF0"/>
    <w:rsid w:val="00C03770"/>
    <w:rsid w:val="00C56248"/>
    <w:rsid w:val="00C8111A"/>
    <w:rsid w:val="00CD5F25"/>
    <w:rsid w:val="00D11CAE"/>
    <w:rsid w:val="00D32353"/>
    <w:rsid w:val="00D54B98"/>
    <w:rsid w:val="00E64A73"/>
    <w:rsid w:val="00E9359C"/>
    <w:rsid w:val="00F16B9A"/>
    <w:rsid w:val="00F8070E"/>
    <w:rsid w:val="00FF7C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EE"/>
    <w:pPr>
      <w:spacing w:after="0" w:line="240" w:lineRule="auto"/>
    </w:pPr>
    <w:rPr>
      <w:rFonts w:ascii="Times New Roman" w:eastAsia="Calibri"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6D0DEE"/>
    <w:pPr>
      <w:suppressAutoHyphens/>
      <w:spacing w:after="0" w:line="240" w:lineRule="auto"/>
    </w:pPr>
    <w:rPr>
      <w:rFonts w:ascii="Calibri" w:eastAsia="Times New Roman" w:hAnsi="Calibri" w:cs="Calibri"/>
      <w:kern w:val="1"/>
      <w:lang w:eastAsia="zh-CN"/>
    </w:rPr>
  </w:style>
  <w:style w:type="paragraph" w:styleId="a3">
    <w:name w:val="No Spacing"/>
    <w:uiPriority w:val="99"/>
    <w:qFormat/>
    <w:rsid w:val="006D0DEE"/>
    <w:pPr>
      <w:suppressAutoHyphens/>
      <w:spacing w:after="0" w:line="240" w:lineRule="auto"/>
    </w:pPr>
    <w:rPr>
      <w:rFonts w:ascii="Times New Roman" w:eastAsia="Times New Roman" w:hAnsi="Times New Roman" w:cs="Times New Roman"/>
      <w:sz w:val="24"/>
      <w:szCs w:val="24"/>
      <w:lang w:eastAsia="zh-CN"/>
    </w:rPr>
  </w:style>
  <w:style w:type="paragraph" w:styleId="a4">
    <w:name w:val="List Paragraph"/>
    <w:basedOn w:val="a"/>
    <w:uiPriority w:val="34"/>
    <w:qFormat/>
    <w:rsid w:val="006D0DEE"/>
    <w:pPr>
      <w:ind w:left="720"/>
      <w:contextualSpacing/>
    </w:pPr>
  </w:style>
  <w:style w:type="paragraph" w:styleId="a5">
    <w:name w:val="Body Text"/>
    <w:basedOn w:val="a"/>
    <w:link w:val="a6"/>
    <w:uiPriority w:val="99"/>
    <w:rsid w:val="006D0DEE"/>
    <w:pPr>
      <w:widowControl w:val="0"/>
      <w:suppressAutoHyphens/>
      <w:spacing w:after="120"/>
    </w:pPr>
    <w:rPr>
      <w:rFonts w:eastAsia="Times New Roman"/>
      <w:color w:val="auto"/>
      <w:kern w:val="1"/>
      <w:sz w:val="24"/>
      <w:szCs w:val="24"/>
      <w:lang w:val="ru-RU" w:eastAsia="zh-CN"/>
    </w:rPr>
  </w:style>
  <w:style w:type="character" w:customStyle="1" w:styleId="a6">
    <w:name w:val="Основной текст Знак"/>
    <w:basedOn w:val="a0"/>
    <w:link w:val="a5"/>
    <w:uiPriority w:val="99"/>
    <w:rsid w:val="006D0DEE"/>
    <w:rPr>
      <w:rFonts w:ascii="Times New Roman" w:eastAsia="Times New Roman" w:hAnsi="Times New Roman" w:cs="Times New Roman"/>
      <w:kern w:val="1"/>
      <w:sz w:val="24"/>
      <w:szCs w:val="24"/>
      <w:lang w:val="ru-RU" w:eastAsia="zh-CN"/>
    </w:rPr>
  </w:style>
  <w:style w:type="paragraph" w:styleId="a7">
    <w:name w:val="Normal (Web)"/>
    <w:basedOn w:val="a"/>
    <w:uiPriority w:val="99"/>
    <w:qFormat/>
    <w:rsid w:val="007C3F47"/>
    <w:pPr>
      <w:suppressAutoHyphens/>
      <w:spacing w:before="28" w:after="100"/>
    </w:pPr>
    <w:rPr>
      <w:rFonts w:eastAsia="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8FC4-1822-4514-9CD9-6F3324CC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767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2021-11-24T06:44:00Z</cp:lastPrinted>
  <dcterms:created xsi:type="dcterms:W3CDTF">2022-09-28T11:20:00Z</dcterms:created>
  <dcterms:modified xsi:type="dcterms:W3CDTF">2022-09-28T11:20:00Z</dcterms:modified>
</cp:coreProperties>
</file>