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4A" w:rsidRPr="00EC7B3E" w:rsidRDefault="00255F4A" w:rsidP="00255F4A">
      <w:pPr>
        <w:tabs>
          <w:tab w:val="left" w:pos="5400"/>
          <w:tab w:val="right" w:pos="9355"/>
          <w:tab w:val="right" w:pos="10207"/>
        </w:tabs>
        <w:spacing w:after="0" w:line="240" w:lineRule="auto"/>
        <w:ind w:left="2977"/>
        <w:jc w:val="right"/>
        <w:rPr>
          <w:rFonts w:ascii="Times New Roman" w:hAnsi="Times New Roman"/>
          <w:b/>
          <w:iCs/>
          <w:sz w:val="32"/>
          <w:szCs w:val="32"/>
        </w:rPr>
      </w:pPr>
      <w:r w:rsidRPr="007F6A66">
        <w:rPr>
          <w:rFonts w:ascii="Times New Roman" w:hAnsi="Times New Roman"/>
          <w:i/>
        </w:rPr>
        <w:t xml:space="preserve">                                                             </w:t>
      </w:r>
      <w:r>
        <w:rPr>
          <w:rFonts w:ascii="Times New Roman" w:hAnsi="Times New Roman"/>
          <w:i/>
        </w:rPr>
        <w:t xml:space="preserve">  </w:t>
      </w:r>
      <w:r w:rsidRPr="007F6A66">
        <w:rPr>
          <w:rFonts w:ascii="Times New Roman" w:hAnsi="Times New Roman"/>
          <w:i/>
        </w:rPr>
        <w:t xml:space="preserve"> </w:t>
      </w:r>
      <w:r w:rsidRPr="00EC7B3E">
        <w:rPr>
          <w:rFonts w:ascii="Times New Roman" w:hAnsi="Times New Roman"/>
          <w:b/>
          <w:sz w:val="32"/>
          <w:szCs w:val="32"/>
        </w:rPr>
        <w:t>До</w:t>
      </w:r>
      <w:r w:rsidRPr="00EC7B3E">
        <w:rPr>
          <w:rFonts w:ascii="Times New Roman" w:hAnsi="Times New Roman"/>
          <w:b/>
          <w:iCs/>
          <w:sz w:val="32"/>
          <w:szCs w:val="32"/>
        </w:rPr>
        <w:t xml:space="preserve">даток 3 </w:t>
      </w:r>
    </w:p>
    <w:p w:rsidR="00255F4A" w:rsidRPr="007F6A66" w:rsidRDefault="00255F4A" w:rsidP="00255F4A">
      <w:pPr>
        <w:spacing w:after="0" w:line="240" w:lineRule="auto"/>
        <w:ind w:firstLine="284"/>
        <w:jc w:val="center"/>
        <w:rPr>
          <w:rFonts w:ascii="Times New Roman" w:hAnsi="Times New Roman"/>
          <w:b/>
          <w:sz w:val="24"/>
          <w:szCs w:val="24"/>
        </w:rPr>
      </w:pPr>
    </w:p>
    <w:p w:rsidR="00255F4A" w:rsidRPr="007F6A66" w:rsidRDefault="00255F4A" w:rsidP="00255F4A">
      <w:pPr>
        <w:jc w:val="center"/>
        <w:rPr>
          <w:rFonts w:ascii="Times New Roman" w:hAnsi="Times New Roman"/>
          <w:b/>
          <w:sz w:val="24"/>
          <w:szCs w:val="24"/>
        </w:rPr>
      </w:pPr>
      <w:r w:rsidRPr="007F6A66">
        <w:rPr>
          <w:rFonts w:ascii="Times New Roman" w:hAnsi="Times New Roman"/>
          <w:b/>
          <w:sz w:val="24"/>
          <w:szCs w:val="24"/>
        </w:rPr>
        <w:t>ПЕРЕЛІК ДОКУМЕНТІВ, ЯКІ НАДАЮТЬСЯ УЧАСНИКОМ  ТА ПЕРЕМОЖЦЕМ ВІДПОВІДНО ДО ВИМОГ СТАТТІ 17 ЗАКОНУ</w:t>
      </w:r>
    </w:p>
    <w:p w:rsidR="00255F4A" w:rsidRPr="007F6A66" w:rsidRDefault="00255F4A" w:rsidP="00255F4A">
      <w:pPr>
        <w:pStyle w:val="rvps2"/>
        <w:shd w:val="clear" w:color="auto" w:fill="FFFFFF"/>
        <w:spacing w:before="0" w:beforeAutospacing="0" w:after="0" w:afterAutospacing="0" w:line="276" w:lineRule="auto"/>
        <w:jc w:val="both"/>
        <w:rPr>
          <w:color w:val="000000"/>
          <w:lang w:val="uk-UA"/>
        </w:rPr>
      </w:pPr>
    </w:p>
    <w:p w:rsidR="00255F4A" w:rsidRPr="007F6A66" w:rsidRDefault="00255F4A" w:rsidP="00255F4A">
      <w:pPr>
        <w:pStyle w:val="rvps2"/>
        <w:numPr>
          <w:ilvl w:val="0"/>
          <w:numId w:val="2"/>
        </w:numPr>
        <w:shd w:val="clear" w:color="auto" w:fill="FFFFFF"/>
        <w:spacing w:before="0" w:beforeAutospacing="0" w:after="0" w:afterAutospacing="0" w:line="276" w:lineRule="auto"/>
        <w:ind w:left="0" w:firstLine="567"/>
        <w:jc w:val="both"/>
        <w:rPr>
          <w:b/>
          <w:color w:val="000000"/>
          <w:lang w:val="uk-UA"/>
        </w:rPr>
      </w:pPr>
      <w:r w:rsidRPr="007F6A66">
        <w:rPr>
          <w:b/>
          <w:color w:val="000000"/>
          <w:lang w:val="uk-UA"/>
        </w:rPr>
        <w:t xml:space="preserve">У зв’язку з введенням в дію функціоналу в електронній системі закупівель стосовно </w:t>
      </w:r>
      <w:proofErr w:type="spellStart"/>
      <w:r w:rsidRPr="007F6A66">
        <w:rPr>
          <w:b/>
          <w:color w:val="000000"/>
          <w:lang w:val="uk-UA"/>
        </w:rPr>
        <w:t>електронізації</w:t>
      </w:r>
      <w:proofErr w:type="spellEnd"/>
      <w:r w:rsidRPr="007F6A66">
        <w:rPr>
          <w:b/>
          <w:color w:val="000000"/>
          <w:lang w:val="uk-UA"/>
        </w:rPr>
        <w:t xml:space="preserve"> підстав для відмови в участі у процедурі закупівель по ст.17 Закону спосіб подання такої інформації («документ», «заява», «галочка») та порядок змін  встановлюється Замовником в електронних полях системи по кожному пункту ч.1  ст.17 Закону.</w:t>
      </w:r>
    </w:p>
    <w:p w:rsidR="00255F4A" w:rsidRPr="007F6A66" w:rsidRDefault="00255F4A" w:rsidP="00255F4A">
      <w:pPr>
        <w:pStyle w:val="rvps2"/>
        <w:numPr>
          <w:ilvl w:val="0"/>
          <w:numId w:val="2"/>
        </w:numPr>
        <w:shd w:val="clear" w:color="auto" w:fill="FFFFFF"/>
        <w:spacing w:before="0" w:beforeAutospacing="0" w:after="0" w:afterAutospacing="0" w:line="276" w:lineRule="auto"/>
        <w:ind w:left="0" w:firstLine="567"/>
        <w:jc w:val="both"/>
        <w:rPr>
          <w:color w:val="000000"/>
          <w:lang w:val="uk-UA"/>
        </w:rPr>
      </w:pPr>
      <w:r w:rsidRPr="007F6A66">
        <w:rPr>
          <w:color w:val="000000"/>
          <w:lang w:val="uk-UA"/>
        </w:rPr>
        <w:t xml:space="preserve">Учасник процедури закупівлі в електронній системі закупівель під час подання тендерної пропозиції  надає інформацію про відсутність підстав, визначених пунктами </w:t>
      </w:r>
      <w:r w:rsidRPr="007F6A66">
        <w:rPr>
          <w:b/>
          <w:color w:val="000000"/>
          <w:lang w:val="uk-UA"/>
        </w:rPr>
        <w:t>5,6,12  частини першої та частиною другою статті 17 Закону</w:t>
      </w:r>
      <w:r>
        <w:rPr>
          <w:b/>
          <w:color w:val="000000"/>
          <w:lang w:val="uk-UA"/>
        </w:rPr>
        <w:t xml:space="preserve"> </w:t>
      </w:r>
      <w:r w:rsidRPr="007F6A66">
        <w:rPr>
          <w:b/>
          <w:color w:val="000000"/>
          <w:lang w:val="uk-UA"/>
        </w:rPr>
        <w:t>у вигляді довідок (зведеної довідки, тощо), складених учасником у довільній формі.</w:t>
      </w:r>
    </w:p>
    <w:p w:rsidR="00255F4A" w:rsidRPr="007F6A66" w:rsidRDefault="00255F4A" w:rsidP="00255F4A">
      <w:pPr>
        <w:pStyle w:val="rvps2"/>
        <w:numPr>
          <w:ilvl w:val="0"/>
          <w:numId w:val="2"/>
        </w:numPr>
        <w:shd w:val="clear" w:color="auto" w:fill="FFFFFF"/>
        <w:spacing w:before="0" w:beforeAutospacing="0" w:after="0" w:afterAutospacing="0" w:line="276" w:lineRule="auto"/>
        <w:ind w:left="0" w:firstLine="567"/>
        <w:jc w:val="both"/>
        <w:rPr>
          <w:color w:val="000000"/>
          <w:lang w:val="uk-UA"/>
        </w:rPr>
      </w:pPr>
      <w:r w:rsidRPr="007F6A66">
        <w:rPr>
          <w:color w:val="000000"/>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5F4A" w:rsidRPr="007F6A66" w:rsidRDefault="00255F4A" w:rsidP="00255F4A">
      <w:pPr>
        <w:pStyle w:val="a4"/>
        <w:widowControl w:val="0"/>
        <w:numPr>
          <w:ilvl w:val="0"/>
          <w:numId w:val="2"/>
        </w:numPr>
        <w:ind w:left="0" w:firstLine="567"/>
        <w:jc w:val="both"/>
        <w:rPr>
          <w:rFonts w:ascii="Times New Roman" w:hAnsi="Times New Roman"/>
          <w:sz w:val="24"/>
          <w:szCs w:val="24"/>
          <w:lang w:val="uk-UA"/>
        </w:rPr>
      </w:pPr>
      <w:r w:rsidRPr="007F6A66">
        <w:rPr>
          <w:rFonts w:ascii="Times New Roman" w:hAnsi="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255F4A" w:rsidRPr="007F6A66" w:rsidRDefault="00255F4A" w:rsidP="00255F4A">
      <w:pPr>
        <w:pStyle w:val="rvps2"/>
        <w:numPr>
          <w:ilvl w:val="0"/>
          <w:numId w:val="2"/>
        </w:numPr>
        <w:shd w:val="clear" w:color="auto" w:fill="FFFFFF"/>
        <w:spacing w:before="0" w:beforeAutospacing="0" w:after="0" w:afterAutospacing="0" w:line="276" w:lineRule="auto"/>
        <w:ind w:left="0" w:firstLine="567"/>
        <w:jc w:val="both"/>
        <w:rPr>
          <w:color w:val="000000"/>
          <w:lang w:val="uk-UA"/>
        </w:rPr>
      </w:pPr>
      <w:r w:rsidRPr="007F6A66">
        <w:rPr>
          <w:b/>
          <w:color w:val="000000"/>
          <w:highlight w:val="lightGray"/>
          <w:lang w:val="uk-UA"/>
        </w:rPr>
        <w:t>До уваги учасників!!!</w:t>
      </w:r>
      <w:r>
        <w:rPr>
          <w:b/>
          <w:color w:val="000000"/>
          <w:highlight w:val="lightGray"/>
          <w:lang w:val="uk-UA"/>
        </w:rPr>
        <w:t xml:space="preserve"> </w:t>
      </w:r>
      <w:r w:rsidRPr="007F6A66">
        <w:rPr>
          <w:color w:val="000000"/>
          <w:highlight w:val="lightGray"/>
          <w:lang w:val="uk-UA"/>
        </w:rPr>
        <w:t xml:space="preserve">Норма Закону (частина 3 статті 17) встановлює, що учасник процедури закупівлі в електронній системі закупівель під час подання тендерної пропозиції </w:t>
      </w:r>
      <w:r w:rsidRPr="007F6A66">
        <w:rPr>
          <w:b/>
          <w:color w:val="000000"/>
          <w:highlight w:val="lightGray"/>
          <w:u w:val="single"/>
          <w:lang w:val="uk-UA"/>
        </w:rPr>
        <w:t>підтверджує</w:t>
      </w:r>
      <w:r w:rsidRPr="007F6A66">
        <w:rPr>
          <w:color w:val="000000"/>
          <w:highlight w:val="lightGray"/>
          <w:lang w:val="uk-UA"/>
        </w:rPr>
        <w:t xml:space="preserve"> відсутність підстав, передбачених пунктами 5, 6, 12 і 13 частини першої та частиною другою статті 17 Закону.</w:t>
      </w:r>
      <w:r>
        <w:rPr>
          <w:color w:val="000000"/>
          <w:lang w:val="uk-UA"/>
        </w:rPr>
        <w:t xml:space="preserve"> </w:t>
      </w:r>
      <w:r w:rsidRPr="007F6A66">
        <w:rPr>
          <w:b/>
          <w:color w:val="000000"/>
          <w:lang w:val="uk-UA"/>
        </w:rPr>
        <w:t>Не надання такого  підтвердження буде  свідчить про наявність відповідної підстави для  відхилення тендерної пропозиції.</w:t>
      </w:r>
    </w:p>
    <w:p w:rsidR="00255F4A" w:rsidRPr="007F6A66" w:rsidRDefault="00255F4A" w:rsidP="00255F4A">
      <w:pPr>
        <w:pStyle w:val="rvps2"/>
        <w:numPr>
          <w:ilvl w:val="0"/>
          <w:numId w:val="2"/>
        </w:numPr>
        <w:shd w:val="clear" w:color="auto" w:fill="FFFFFF"/>
        <w:spacing w:before="0" w:beforeAutospacing="0" w:after="0" w:afterAutospacing="0" w:line="276" w:lineRule="auto"/>
        <w:ind w:left="0" w:firstLine="567"/>
        <w:jc w:val="both"/>
        <w:rPr>
          <w:b/>
          <w:color w:val="000000"/>
          <w:lang w:val="uk-UA"/>
        </w:rPr>
      </w:pPr>
      <w:r w:rsidRPr="007F6A66">
        <w:rPr>
          <w:b/>
          <w:color w:val="000000"/>
          <w:highlight w:val="lightGray"/>
          <w:lang w:val="uk-UA"/>
        </w:rPr>
        <w:t>До уваги учасників-переможців!!!</w:t>
      </w:r>
      <w:r w:rsidRPr="007F6A66">
        <w:rPr>
          <w:color w:val="000000"/>
          <w:highlight w:val="lightGray"/>
          <w:lang w:val="uk-UA"/>
        </w:rPr>
        <w:t xml:space="preserve">Норма Закону (частина 6 статті 17) встановлює, що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7F6A66">
        <w:rPr>
          <w:b/>
          <w:color w:val="000000"/>
          <w:highlight w:val="lightGray"/>
          <w:lang w:val="uk-UA"/>
        </w:rPr>
        <w:t>повинен надати</w:t>
      </w:r>
      <w:r w:rsidRPr="007F6A66">
        <w:rPr>
          <w:color w:val="000000"/>
          <w:highlight w:val="lightGray"/>
          <w:lang w:val="uk-UA"/>
        </w:rPr>
        <w:t xml:space="preserve"> замовнику </w:t>
      </w:r>
      <w:r w:rsidRPr="007F6A66">
        <w:rPr>
          <w:b/>
          <w:color w:val="000000"/>
          <w:highlight w:val="lightGray"/>
          <w:lang w:val="uk-UA"/>
        </w:rPr>
        <w:t xml:space="preserve">документи </w:t>
      </w:r>
      <w:r w:rsidRPr="007F6A66">
        <w:rPr>
          <w:color w:val="000000"/>
          <w:highlight w:val="lightGray"/>
          <w:lang w:val="uk-UA"/>
        </w:rPr>
        <w:t xml:space="preserve">шляхом оприлюднення їх  в електронній системі закупівель, що підтверджують відсутність підстав, визначених пунктами </w:t>
      </w:r>
      <w:r w:rsidRPr="007F6A66">
        <w:rPr>
          <w:b/>
          <w:color w:val="000000"/>
          <w:highlight w:val="lightGray"/>
          <w:lang w:val="uk-UA"/>
        </w:rPr>
        <w:t>2,3,5,6,8,12 і 13 частини першої та частиною другою статті 17</w:t>
      </w:r>
      <w:r w:rsidRPr="007F6A66">
        <w:rPr>
          <w:color w:val="000000"/>
          <w:highlight w:val="lightGray"/>
          <w:lang w:val="uk-UA"/>
        </w:rPr>
        <w:t>.</w:t>
      </w:r>
    </w:p>
    <w:p w:rsidR="00255F4A" w:rsidRPr="007F6A66" w:rsidRDefault="00255F4A" w:rsidP="00255F4A">
      <w:pPr>
        <w:pStyle w:val="rvps2"/>
        <w:numPr>
          <w:ilvl w:val="0"/>
          <w:numId w:val="2"/>
        </w:numPr>
        <w:shd w:val="clear" w:color="auto" w:fill="FFFFFF"/>
        <w:spacing w:before="0" w:beforeAutospacing="0" w:after="0" w:afterAutospacing="0" w:line="276" w:lineRule="auto"/>
        <w:ind w:left="0" w:firstLine="567"/>
        <w:jc w:val="both"/>
        <w:rPr>
          <w:color w:val="000000"/>
          <w:lang w:val="uk-UA"/>
        </w:rPr>
      </w:pPr>
      <w:r w:rsidRPr="007F6A66">
        <w:rPr>
          <w:color w:val="000000"/>
          <w:lang w:val="uk-UA"/>
        </w:rPr>
        <w:t xml:space="preserve">Спосіб документального підтвердження згідно із законодавством щодо відсутності підстав, передбачених пунктами </w:t>
      </w:r>
      <w:r w:rsidRPr="007F6A66">
        <w:rPr>
          <w:b/>
          <w:color w:val="000000"/>
          <w:lang w:val="uk-UA"/>
        </w:rPr>
        <w:t>5, 6, 12 і 13</w:t>
      </w:r>
      <w:r w:rsidRPr="007F6A66">
        <w:rPr>
          <w:color w:val="000000"/>
          <w:lang w:val="uk-UA"/>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55F4A" w:rsidRPr="007F6A66" w:rsidRDefault="00255F4A" w:rsidP="00255F4A">
      <w:pPr>
        <w:pStyle w:val="rvps2"/>
        <w:numPr>
          <w:ilvl w:val="0"/>
          <w:numId w:val="2"/>
        </w:numPr>
        <w:shd w:val="clear" w:color="auto" w:fill="FFFFFF"/>
        <w:spacing w:before="0" w:beforeAutospacing="0" w:after="0" w:afterAutospacing="0" w:line="276" w:lineRule="auto"/>
        <w:ind w:left="0" w:firstLine="567"/>
        <w:jc w:val="both"/>
        <w:rPr>
          <w:color w:val="000000"/>
          <w:lang w:val="uk-UA"/>
        </w:rPr>
      </w:pPr>
      <w:r w:rsidRPr="007F6A66">
        <w:rPr>
          <w:color w:val="000000"/>
          <w:shd w:val="clear" w:color="auto" w:fill="FFFFFF"/>
          <w:lang w:val="uk-UA"/>
        </w:rPr>
        <w:t xml:space="preserve">Переможець процедури закупівлі у строк, </w:t>
      </w:r>
      <w:r w:rsidRPr="007F6A66">
        <w:rPr>
          <w:b/>
          <w:color w:val="000000"/>
          <w:shd w:val="clear" w:color="auto" w:fill="FFFFFF"/>
          <w:lang w:val="uk-UA"/>
        </w:rPr>
        <w:t>що не перевищує десяти днів з дати оприлюднення</w:t>
      </w:r>
      <w:r w:rsidRPr="007F6A66">
        <w:rPr>
          <w:color w:val="000000"/>
          <w:shd w:val="clear" w:color="auto" w:fill="FFFFFF"/>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Pr="007F6A66">
        <w:rPr>
          <w:b/>
          <w:color w:val="000000"/>
          <w:shd w:val="clear" w:color="auto" w:fill="FFFFFF"/>
          <w:lang w:val="uk-UA"/>
        </w:rPr>
        <w:t>5, 6, 12  частини першої та частиною другою статті 17 Закону</w:t>
      </w:r>
      <w:r w:rsidRPr="007F6A66">
        <w:rPr>
          <w:color w:val="000000"/>
          <w:shd w:val="clear" w:color="auto" w:fill="FFFFFF"/>
          <w:lang w:val="uk-UA"/>
        </w:rPr>
        <w:t>, а саме:</w:t>
      </w:r>
    </w:p>
    <w:p w:rsidR="00255F4A" w:rsidRPr="007F6A66" w:rsidRDefault="00255F4A" w:rsidP="00255F4A">
      <w:pPr>
        <w:pStyle w:val="rvps2"/>
        <w:numPr>
          <w:ilvl w:val="0"/>
          <w:numId w:val="1"/>
        </w:numPr>
        <w:shd w:val="clear" w:color="auto" w:fill="FFFFFF"/>
        <w:spacing w:before="0" w:beforeAutospacing="0" w:after="0" w:afterAutospacing="0" w:line="276" w:lineRule="auto"/>
        <w:jc w:val="both"/>
        <w:rPr>
          <w:color w:val="000000"/>
          <w:shd w:val="clear" w:color="auto" w:fill="FFFFFF"/>
          <w:lang w:val="uk-UA"/>
        </w:rPr>
      </w:pPr>
      <w:r w:rsidRPr="007F6A66">
        <w:rPr>
          <w:color w:val="000000"/>
          <w:shd w:val="clear" w:color="auto" w:fill="FFFFFF"/>
          <w:lang w:val="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w:t>
      </w:r>
      <w:r w:rsidRPr="007F6A66">
        <w:rPr>
          <w:color w:val="000000"/>
          <w:shd w:val="clear" w:color="auto" w:fill="FFFFFF"/>
          <w:lang w:val="uk-UA"/>
        </w:rPr>
        <w:lastRenderedPageBreak/>
        <w:t xml:space="preserve">передбачених кримінальним процесуальним законодавством України. Документ повинен бути </w:t>
      </w:r>
      <w:r w:rsidRPr="007F6A66">
        <w:rPr>
          <w:b/>
          <w:color w:val="000000"/>
          <w:shd w:val="clear" w:color="auto" w:fill="FFFFFF"/>
          <w:lang w:val="uk-UA"/>
        </w:rPr>
        <w:t>не більше тридцяти денної давнини</w:t>
      </w:r>
      <w:r w:rsidRPr="007F6A66">
        <w:rPr>
          <w:color w:val="000000"/>
          <w:shd w:val="clear" w:color="auto" w:fill="FFFFFF"/>
          <w:lang w:val="uk-UA"/>
        </w:rPr>
        <w:t xml:space="preserve"> відносно дати подання документа в електронну систему закупівель. Зазначена довідка надається щодо осіб (особи), визначених згідно п. 5, 6, частини 1 ст. 17 Закону;</w:t>
      </w:r>
    </w:p>
    <w:p w:rsidR="00255F4A" w:rsidRPr="007F6A66" w:rsidRDefault="00255F4A" w:rsidP="00255F4A">
      <w:pPr>
        <w:pStyle w:val="rvps2"/>
        <w:numPr>
          <w:ilvl w:val="0"/>
          <w:numId w:val="1"/>
        </w:numPr>
        <w:shd w:val="clear" w:color="auto" w:fill="FFFFFF"/>
        <w:spacing w:before="0" w:beforeAutospacing="0" w:after="0" w:afterAutospacing="0" w:line="276" w:lineRule="auto"/>
        <w:jc w:val="both"/>
        <w:rPr>
          <w:color w:val="000000"/>
          <w:shd w:val="clear" w:color="auto" w:fill="FFFFFF"/>
          <w:lang w:val="uk-UA"/>
        </w:rPr>
      </w:pPr>
      <w:r w:rsidRPr="007F6A66">
        <w:rPr>
          <w:color w:val="000000"/>
          <w:lang w:val="uk-UA"/>
        </w:rPr>
        <w:t>довідка, складена учасником у довільній формі, що підтверджує відсутність підстави, передбаченої п.12 частини 1 ст.17 Закону;</w:t>
      </w:r>
    </w:p>
    <w:p w:rsidR="00255F4A" w:rsidRPr="007F6A66" w:rsidRDefault="00255F4A" w:rsidP="00255F4A">
      <w:pPr>
        <w:pStyle w:val="rvps2"/>
        <w:numPr>
          <w:ilvl w:val="0"/>
          <w:numId w:val="1"/>
        </w:numPr>
        <w:shd w:val="clear" w:color="auto" w:fill="FFFFFF"/>
        <w:spacing w:before="0" w:beforeAutospacing="0" w:after="0" w:afterAutospacing="0" w:line="276" w:lineRule="auto"/>
        <w:jc w:val="both"/>
        <w:rPr>
          <w:color w:val="000000"/>
          <w:shd w:val="clear" w:color="auto" w:fill="FFFFFF"/>
          <w:lang w:val="uk-UA"/>
        </w:rPr>
      </w:pPr>
      <w:r w:rsidRPr="007F6A66">
        <w:rPr>
          <w:color w:val="000000"/>
          <w:lang w:val="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55F4A" w:rsidRPr="007F6A66" w:rsidRDefault="00255F4A" w:rsidP="00255F4A">
      <w:pPr>
        <w:pStyle w:val="rvps2"/>
        <w:shd w:val="clear" w:color="auto" w:fill="FFFFFF"/>
        <w:spacing w:before="0" w:beforeAutospacing="0" w:after="0" w:afterAutospacing="0" w:line="276" w:lineRule="auto"/>
        <w:jc w:val="both"/>
        <w:rPr>
          <w:color w:val="000000"/>
          <w:lang w:val="uk-UA"/>
        </w:rPr>
      </w:pPr>
    </w:p>
    <w:p w:rsidR="00255F4A" w:rsidRPr="007F6A66" w:rsidRDefault="00255F4A" w:rsidP="00255F4A">
      <w:pPr>
        <w:pStyle w:val="rvps2"/>
        <w:shd w:val="clear" w:color="auto" w:fill="FFFFFF"/>
        <w:spacing w:before="0" w:beforeAutospacing="0" w:after="0" w:afterAutospacing="0" w:line="276" w:lineRule="auto"/>
        <w:jc w:val="both"/>
        <w:rPr>
          <w:color w:val="000000"/>
          <w:lang w:val="uk-UA"/>
        </w:rPr>
      </w:pPr>
      <w:r w:rsidRPr="007F6A66">
        <w:rPr>
          <w:color w:val="000000"/>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255F4A" w:rsidRPr="007F6A66" w:rsidRDefault="00255F4A" w:rsidP="00255F4A">
      <w:pPr>
        <w:pStyle w:val="rvps2"/>
        <w:shd w:val="clear" w:color="auto" w:fill="FFFFFF"/>
        <w:spacing w:before="0" w:beforeAutospacing="0" w:after="0" w:afterAutospacing="0" w:line="276" w:lineRule="auto"/>
        <w:jc w:val="both"/>
        <w:rPr>
          <w:color w:val="000000"/>
          <w:lang w:val="uk-UA"/>
        </w:rPr>
      </w:pPr>
      <w:r w:rsidRPr="007F6A66">
        <w:rPr>
          <w:color w:val="000000"/>
          <w:lang w:val="uk-UA"/>
        </w:rPr>
        <w:t>У випадку наявності в переможця процедури закупівлі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наказу Міністерства економічного розвитку і торгівлі України, Міністерства фінансів України від 17.01.2018р. № 37/11, далі – Порядок № 37/11), переможець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переможця,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переможця, але в будь-якому випадку в межах строку згідно ч. 6 ст. 17 Закону.</w:t>
      </w:r>
    </w:p>
    <w:p w:rsidR="00255F4A" w:rsidRPr="007F6A66" w:rsidRDefault="00255F4A" w:rsidP="00255F4A">
      <w:pPr>
        <w:pStyle w:val="rvps2"/>
        <w:shd w:val="clear" w:color="auto" w:fill="FFFFFF"/>
        <w:spacing w:before="0" w:beforeAutospacing="0" w:after="0" w:afterAutospacing="0" w:line="276" w:lineRule="auto"/>
        <w:jc w:val="both"/>
        <w:rPr>
          <w:b/>
          <w:color w:val="000000"/>
          <w:lang w:val="uk-UA"/>
        </w:rPr>
      </w:pPr>
      <w:r w:rsidRPr="007F6A66">
        <w:rPr>
          <w:b/>
          <w:color w:val="000000"/>
          <w:lang w:val="uk-UA"/>
        </w:rPr>
        <w:t>Якщо переможцем процедури закупівлі документи, зазначені у статті 17 Закону не надані через електронну систему або не надані у строк, визначений Законом або не відповідають вимогам, визначеним у тендерній документації, замовник відхиляє таку пропозицію переможця відповідно до  пункту 3 частини 1 статті 31 Закону, а саме: «не надав у спосіб, зазначений в тендерній документації, документи, що підтверджують відсутність підстав, установлених статтею 17 Закону».</w:t>
      </w:r>
    </w:p>
    <w:p w:rsidR="00255F4A" w:rsidRPr="007F6A66" w:rsidRDefault="00255F4A" w:rsidP="00255F4A">
      <w:pPr>
        <w:pStyle w:val="rvps2"/>
        <w:shd w:val="clear" w:color="auto" w:fill="FFFFFF"/>
        <w:spacing w:before="0" w:beforeAutospacing="0" w:after="0" w:afterAutospacing="0" w:line="276" w:lineRule="auto"/>
        <w:jc w:val="both"/>
        <w:rPr>
          <w:b/>
          <w:color w:val="000000"/>
          <w:lang w:val="uk-UA"/>
        </w:rPr>
      </w:pPr>
    </w:p>
    <w:p w:rsidR="00255F4A" w:rsidRPr="007F6A66" w:rsidRDefault="00255F4A" w:rsidP="00255F4A">
      <w:pPr>
        <w:pStyle w:val="27"/>
        <w:keepNext/>
        <w:keepLines/>
        <w:numPr>
          <w:ilvl w:val="0"/>
          <w:numId w:val="2"/>
        </w:numPr>
        <w:ind w:left="0" w:right="218" w:firstLine="0"/>
        <w:jc w:val="both"/>
        <w:rPr>
          <w:rFonts w:ascii="Times New Roman" w:hAnsi="Times New Roman"/>
          <w:b/>
          <w:color w:val="000000"/>
          <w:sz w:val="24"/>
          <w:szCs w:val="24"/>
          <w:lang w:val="uk-UA"/>
        </w:rPr>
      </w:pPr>
      <w:r w:rsidRPr="007F6A66">
        <w:rPr>
          <w:rFonts w:ascii="Times New Roman" w:hAnsi="Times New Roman"/>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55F4A" w:rsidRPr="007F6A66" w:rsidRDefault="00255F4A" w:rsidP="00255F4A">
      <w:pPr>
        <w:pStyle w:val="rvps2"/>
        <w:shd w:val="clear" w:color="auto" w:fill="FFFFFF"/>
        <w:spacing w:before="0" w:beforeAutospacing="0" w:after="0" w:afterAutospacing="0" w:line="276" w:lineRule="auto"/>
        <w:jc w:val="both"/>
        <w:rPr>
          <w:color w:val="000000"/>
          <w:lang w:val="uk-UA"/>
        </w:rPr>
      </w:pPr>
    </w:p>
    <w:p w:rsidR="00255F4A" w:rsidRPr="007F6A66" w:rsidRDefault="00255F4A" w:rsidP="00255F4A">
      <w:pPr>
        <w:widowControl w:val="0"/>
        <w:contextualSpacing/>
        <w:jc w:val="both"/>
        <w:rPr>
          <w:rFonts w:ascii="Times New Roman" w:hAnsi="Times New Roman"/>
          <w:i/>
          <w:sz w:val="24"/>
          <w:szCs w:val="24"/>
        </w:rPr>
      </w:pPr>
    </w:p>
    <w:p w:rsidR="00255F4A" w:rsidRPr="007F6A66" w:rsidRDefault="00255F4A" w:rsidP="00255F4A">
      <w:pPr>
        <w:widowControl w:val="0"/>
        <w:ind w:hanging="21"/>
        <w:contextualSpacing/>
        <w:jc w:val="both"/>
        <w:rPr>
          <w:rFonts w:ascii="Times New Roman" w:hAnsi="Times New Roman"/>
          <w:i/>
          <w:sz w:val="24"/>
          <w:szCs w:val="24"/>
        </w:rPr>
      </w:pPr>
      <w:r w:rsidRPr="007F6A66">
        <w:rPr>
          <w:rFonts w:ascii="Times New Roman" w:hAnsi="Times New Roman"/>
          <w:i/>
          <w:sz w:val="24"/>
          <w:szCs w:val="24"/>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F6A66">
        <w:rPr>
          <w:rFonts w:ascii="Times New Roman" w:hAnsi="Times New Roman"/>
          <w:i/>
          <w:sz w:val="24"/>
          <w:szCs w:val="24"/>
        </w:rPr>
        <w:t>скан-копій</w:t>
      </w:r>
      <w:proofErr w:type="spellEnd"/>
      <w:r w:rsidRPr="007F6A66">
        <w:rPr>
          <w:rFonts w:ascii="Times New Roman" w:hAnsi="Times New Roman"/>
          <w:i/>
          <w:sz w:val="24"/>
          <w:szCs w:val="24"/>
        </w:rPr>
        <w:t>, (файли з розширенням «…</w:t>
      </w:r>
      <w:proofErr w:type="spellStart"/>
      <w:r w:rsidRPr="007F6A66">
        <w:rPr>
          <w:rFonts w:ascii="Times New Roman" w:hAnsi="Times New Roman"/>
          <w:i/>
          <w:sz w:val="24"/>
          <w:szCs w:val="24"/>
        </w:rPr>
        <w:t>pdf</w:t>
      </w:r>
      <w:proofErr w:type="spellEnd"/>
      <w:r w:rsidRPr="007F6A66">
        <w:rPr>
          <w:rFonts w:ascii="Times New Roman" w:hAnsi="Times New Roman"/>
          <w:i/>
          <w:sz w:val="24"/>
          <w:szCs w:val="24"/>
        </w:rPr>
        <w:t>.», «…</w:t>
      </w:r>
      <w:proofErr w:type="spellStart"/>
      <w:r w:rsidRPr="007F6A66">
        <w:rPr>
          <w:rFonts w:ascii="Times New Roman" w:hAnsi="Times New Roman"/>
          <w:i/>
          <w:sz w:val="24"/>
          <w:szCs w:val="24"/>
        </w:rPr>
        <w:t>jpeg</w:t>
      </w:r>
      <w:proofErr w:type="spellEnd"/>
      <w:r w:rsidRPr="007F6A66">
        <w:rPr>
          <w:rFonts w:ascii="Times New Roman" w:hAnsi="Times New Roman"/>
          <w:i/>
          <w:sz w:val="24"/>
          <w:szCs w:val="24"/>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7F6A66">
        <w:rPr>
          <w:rFonts w:ascii="Times New Roman" w:hAnsi="Times New Roman"/>
          <w:i/>
          <w:sz w:val="24"/>
          <w:szCs w:val="24"/>
        </w:rPr>
        <w:t>скан-копії</w:t>
      </w:r>
      <w:proofErr w:type="spellEnd"/>
      <w:r w:rsidRPr="007F6A66">
        <w:rPr>
          <w:rFonts w:ascii="Times New Roman" w:hAnsi="Times New Roman"/>
          <w:i/>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rsidR="00255F4A" w:rsidRPr="007F6A66" w:rsidRDefault="00255F4A" w:rsidP="00255F4A">
      <w:pPr>
        <w:widowControl w:val="0"/>
        <w:ind w:hanging="21"/>
        <w:contextualSpacing/>
        <w:jc w:val="both"/>
        <w:rPr>
          <w:rFonts w:ascii="Times New Roman" w:hAnsi="Times New Roman"/>
          <w:i/>
          <w:sz w:val="24"/>
          <w:szCs w:val="24"/>
        </w:rPr>
      </w:pPr>
    </w:p>
    <w:p w:rsidR="00E32274" w:rsidRDefault="00255F4A" w:rsidP="00255F4A">
      <w:r w:rsidRPr="007F6A66">
        <w:rPr>
          <w:rFonts w:ascii="Times New Roman" w:hAnsi="Times New Roman"/>
          <w:i/>
          <w:sz w:val="24"/>
          <w:szCs w:val="24"/>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7F6A66">
        <w:rPr>
          <w:rFonts w:ascii="Times New Roman" w:hAnsi="Times New Roman"/>
          <w:bCs/>
          <w:i/>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7F6A66">
        <w:rPr>
          <w:rFonts w:ascii="Times New Roman" w:hAnsi="Times New Roman"/>
          <w:i/>
          <w:sz w:val="24"/>
          <w:szCs w:val="24"/>
        </w:rPr>
        <w:t>на кожен з таких документів</w:t>
      </w:r>
    </w:p>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136"/>
    <w:multiLevelType w:val="hybridMultilevel"/>
    <w:tmpl w:val="3C2494B4"/>
    <w:lvl w:ilvl="0" w:tplc="35F8DA2A">
      <w:start w:val="1"/>
      <w:numFmt w:val="decimal"/>
      <w:lvlText w:val="%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
    <w:nsid w:val="5C836270"/>
    <w:multiLevelType w:val="hybridMultilevel"/>
    <w:tmpl w:val="5BF2B8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5F4A"/>
    <w:rsid w:val="00126E96"/>
    <w:rsid w:val="00255F4A"/>
    <w:rsid w:val="005F59A1"/>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4A"/>
    <w:pPr>
      <w:spacing w:after="160" w:line="259"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255F4A"/>
    <w:pPr>
      <w:spacing w:before="100" w:beforeAutospacing="1" w:after="100" w:afterAutospacing="1" w:line="240" w:lineRule="auto"/>
    </w:pPr>
    <w:rPr>
      <w:rFonts w:ascii="Times New Roman" w:hAnsi="Times New Roman"/>
      <w:sz w:val="24"/>
      <w:szCs w:val="24"/>
      <w:lang w:val="ru-RU"/>
    </w:rPr>
  </w:style>
  <w:style w:type="character" w:customStyle="1" w:styleId="a3">
    <w:name w:val="Основной текст_"/>
    <w:link w:val="27"/>
    <w:rsid w:val="00255F4A"/>
    <w:rPr>
      <w:shd w:val="clear" w:color="auto" w:fill="FFFFFF"/>
    </w:rPr>
  </w:style>
  <w:style w:type="paragraph" w:customStyle="1" w:styleId="27">
    <w:name w:val="Основной текст27"/>
    <w:basedOn w:val="a"/>
    <w:link w:val="a3"/>
    <w:rsid w:val="00255F4A"/>
    <w:pPr>
      <w:widowControl w:val="0"/>
      <w:shd w:val="clear" w:color="auto" w:fill="FFFFFF"/>
      <w:spacing w:after="0" w:line="0" w:lineRule="atLeast"/>
      <w:ind w:hanging="1100"/>
      <w:jc w:val="center"/>
    </w:pPr>
    <w:rPr>
      <w:rFonts w:asciiTheme="minorHAnsi" w:eastAsiaTheme="minorHAnsi" w:hAnsiTheme="minorHAnsi" w:cstheme="minorBidi"/>
      <w:lang w:val="ru-RU" w:eastAsia="en-US"/>
    </w:rPr>
  </w:style>
  <w:style w:type="paragraph" w:styleId="a4">
    <w:name w:val="List Paragraph"/>
    <w:aliases w:val="Numbered List,Список уровня 2,Chapter10,название табл/рис"/>
    <w:basedOn w:val="a"/>
    <w:link w:val="a5"/>
    <w:uiPriority w:val="34"/>
    <w:qFormat/>
    <w:rsid w:val="00255F4A"/>
    <w:pPr>
      <w:spacing w:after="0" w:line="276" w:lineRule="auto"/>
      <w:ind w:left="720"/>
      <w:contextualSpacing/>
    </w:pPr>
    <w:rPr>
      <w:rFonts w:ascii="Arial" w:eastAsia="Arial" w:hAnsi="Arial"/>
      <w:color w:val="000000"/>
      <w:lang/>
    </w:rPr>
  </w:style>
  <w:style w:type="character" w:customStyle="1" w:styleId="a5">
    <w:name w:val="Абзац списка Знак"/>
    <w:aliases w:val="Numbered List Знак,Список уровня 2 Знак,Chapter10 Знак,название табл/рис Знак"/>
    <w:link w:val="a4"/>
    <w:uiPriority w:val="34"/>
    <w:locked/>
    <w:rsid w:val="00255F4A"/>
    <w:rPr>
      <w:rFonts w:ascii="Arial" w:eastAsia="Arial" w:hAnsi="Arial" w:cs="Times New Roman"/>
      <w:color w:val="00000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2022-10-20T06:57:00Z</dcterms:created>
  <dcterms:modified xsi:type="dcterms:W3CDTF">2022-10-20T06:57:00Z</dcterms:modified>
</cp:coreProperties>
</file>