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3725" w14:textId="77777777" w:rsidR="00601F81" w:rsidRDefault="00601F81" w:rsidP="00601F81">
      <w:pPr>
        <w:jc w:val="right"/>
      </w:pPr>
      <w:r>
        <w:rPr>
          <w:b/>
          <w:bCs/>
          <w:i/>
        </w:rPr>
        <w:t xml:space="preserve">Додаток 3 до тендерної документації </w:t>
      </w:r>
    </w:p>
    <w:p w14:paraId="2DC66569" w14:textId="77777777" w:rsidR="00601F81" w:rsidRDefault="00601F81" w:rsidP="00601F81">
      <w:pPr>
        <w:tabs>
          <w:tab w:val="center" w:pos="4680"/>
        </w:tabs>
        <w:ind w:right="81"/>
        <w:jc w:val="center"/>
        <w:rPr>
          <w:b/>
          <w:spacing w:val="40"/>
          <w:sz w:val="28"/>
          <w:szCs w:val="28"/>
        </w:rPr>
      </w:pPr>
    </w:p>
    <w:p w14:paraId="2F2D3501" w14:textId="1DBD0816" w:rsidR="00037AF3" w:rsidRDefault="00037AF3" w:rsidP="00037AF3">
      <w:pPr>
        <w:tabs>
          <w:tab w:val="center" w:pos="4680"/>
        </w:tabs>
        <w:ind w:right="8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ТЕХНІЧНІ ВИМОГИ ДО ПРЕДМЕТУ ЗАКУПІВЛІ</w:t>
      </w:r>
    </w:p>
    <w:p w14:paraId="74572241" w14:textId="77777777" w:rsidR="00037AF3" w:rsidRPr="00D66699" w:rsidRDefault="00037AF3" w:rsidP="00D66699">
      <w:pPr>
        <w:pStyle w:val="a3"/>
        <w:jc w:val="center"/>
        <w:rPr>
          <w:rFonts w:ascii="Times New Roman" w:hAnsi="Times New Roman"/>
          <w:i/>
          <w:szCs w:val="24"/>
          <w:lang w:val="uk-UA"/>
        </w:rPr>
      </w:pPr>
      <w:r w:rsidRPr="00D66699">
        <w:rPr>
          <w:rFonts w:ascii="Times New Roman" w:hAnsi="Times New Roman"/>
          <w:i/>
          <w:lang w:val="uk-UA"/>
        </w:rPr>
        <w:t>(інформація про необхідні технічні, якісні та кількісні характеристики предмета закупівлі)</w:t>
      </w:r>
    </w:p>
    <w:p w14:paraId="4DCA0EF9" w14:textId="77777777" w:rsidR="00037AF3" w:rsidRDefault="00037AF3" w:rsidP="00037AF3">
      <w:pPr>
        <w:shd w:val="clear" w:color="auto" w:fill="FFFFFF"/>
        <w:spacing w:line="100" w:lineRule="atLeast"/>
        <w:ind w:firstLine="720"/>
        <w:jc w:val="both"/>
        <w:rPr>
          <w:b/>
          <w:sz w:val="20"/>
          <w:szCs w:val="20"/>
        </w:rPr>
      </w:pPr>
    </w:p>
    <w:p w14:paraId="14176CA6" w14:textId="1513441D" w:rsidR="00037AF3" w:rsidRDefault="00037AF3" w:rsidP="00034B55">
      <w:pPr>
        <w:jc w:val="center"/>
        <w:rPr>
          <w:b/>
          <w:sz w:val="20"/>
          <w:szCs w:val="20"/>
        </w:rPr>
      </w:pPr>
      <w:r>
        <w:t xml:space="preserve">Найменування товару: </w:t>
      </w:r>
      <w:r w:rsidR="00034B55" w:rsidRPr="005330E5">
        <w:rPr>
          <w:b/>
          <w:bCs/>
          <w:shd w:val="clear" w:color="auto" w:fill="FFFFFF"/>
        </w:rPr>
        <w:t>Какао</w:t>
      </w:r>
      <w:r w:rsidR="00034B55">
        <w:rPr>
          <w:b/>
          <w:bCs/>
          <w:shd w:val="clear" w:color="auto" w:fill="FFFFFF"/>
        </w:rPr>
        <w:t>;</w:t>
      </w:r>
      <w:r w:rsidR="00034B55" w:rsidRPr="005330E5">
        <w:rPr>
          <w:b/>
          <w:bCs/>
          <w:shd w:val="clear" w:color="auto" w:fill="FFFFFF"/>
        </w:rPr>
        <w:t xml:space="preserve"> шоколад та цукрові кондитерські вироби</w:t>
      </w:r>
      <w:r w:rsidR="00034B55" w:rsidRPr="00BA7A86">
        <w:rPr>
          <w:b/>
          <w:color w:val="000000"/>
        </w:rPr>
        <w:t xml:space="preserve">» </w:t>
      </w:r>
      <w:r w:rsidR="00034B55" w:rsidRPr="00BA7A86">
        <w:rPr>
          <w:b/>
        </w:rPr>
        <w:t>код за ДК 021:2015 – 15</w:t>
      </w:r>
      <w:r w:rsidR="00034B55">
        <w:rPr>
          <w:b/>
        </w:rPr>
        <w:t>84</w:t>
      </w:r>
      <w:r w:rsidR="00034B55" w:rsidRPr="00BA7A86">
        <w:rPr>
          <w:b/>
        </w:rPr>
        <w:t>0000-</w:t>
      </w:r>
      <w:r w:rsidR="00034B55">
        <w:rPr>
          <w:b/>
        </w:rPr>
        <w:t>8</w:t>
      </w:r>
      <w:r w:rsidR="00034B55" w:rsidRPr="00BA7A86">
        <w:rPr>
          <w:b/>
        </w:rPr>
        <w:t>) (</w:t>
      </w:r>
      <w:r w:rsidR="00034B55">
        <w:rPr>
          <w:b/>
          <w:bCs/>
          <w:shd w:val="clear" w:color="auto" w:fill="FFFFFF"/>
        </w:rPr>
        <w:t xml:space="preserve">какао, коробки цукерок (до 200 </w:t>
      </w:r>
      <w:proofErr w:type="spellStart"/>
      <w:r w:rsidR="00034B55">
        <w:rPr>
          <w:b/>
          <w:bCs/>
          <w:shd w:val="clear" w:color="auto" w:fill="FFFFFF"/>
        </w:rPr>
        <w:t>гр</w:t>
      </w:r>
      <w:proofErr w:type="spellEnd"/>
      <w:r w:rsidR="00034B55">
        <w:rPr>
          <w:b/>
          <w:bCs/>
          <w:shd w:val="clear" w:color="auto" w:fill="FFFFFF"/>
        </w:rPr>
        <w:t xml:space="preserve">), зефір, вафлі </w:t>
      </w:r>
      <w:r w:rsidR="00034B55" w:rsidRPr="006A3DCF">
        <w:rPr>
          <w:b/>
          <w:bCs/>
          <w:shd w:val="clear" w:color="auto" w:fill="FFFFFF"/>
        </w:rPr>
        <w:t>з начинкою</w:t>
      </w:r>
      <w:r w:rsidR="00034B55">
        <w:rPr>
          <w:b/>
          <w:bCs/>
          <w:shd w:val="clear" w:color="auto" w:fill="FFFFFF"/>
        </w:rPr>
        <w:t xml:space="preserve">, халва </w:t>
      </w:r>
      <w:r w:rsidR="00034B55" w:rsidRPr="006A3DCF">
        <w:rPr>
          <w:b/>
          <w:bCs/>
          <w:shd w:val="clear" w:color="auto" w:fill="FFFFFF"/>
        </w:rPr>
        <w:t>соняшникова (фасована</w:t>
      </w:r>
      <w:r w:rsidR="00034B55">
        <w:rPr>
          <w:b/>
          <w:bCs/>
          <w:shd w:val="clear" w:color="auto" w:fill="FFFFFF"/>
        </w:rPr>
        <w:t>), цукерки шоколадні, цукерки карамельні</w:t>
      </w:r>
      <w:r w:rsidR="00034B55" w:rsidRPr="00BA7A86">
        <w:rPr>
          <w:b/>
        </w:rPr>
        <w:t>)</w:t>
      </w:r>
    </w:p>
    <w:tbl>
      <w:tblPr>
        <w:tblW w:w="9375" w:type="dxa"/>
        <w:tblInd w:w="583" w:type="dxa"/>
        <w:tblLayout w:type="fixed"/>
        <w:tblLook w:val="04A0" w:firstRow="1" w:lastRow="0" w:firstColumn="1" w:lastColumn="0" w:noHBand="0" w:noVBand="1"/>
      </w:tblPr>
      <w:tblGrid>
        <w:gridCol w:w="888"/>
        <w:gridCol w:w="5459"/>
        <w:gridCol w:w="1270"/>
        <w:gridCol w:w="1758"/>
      </w:tblGrid>
      <w:tr w:rsidR="00037AF3" w14:paraId="50442972" w14:textId="77777777" w:rsidTr="00037AF3">
        <w:trPr>
          <w:trHeight w:val="47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FE1FC" w14:textId="77777777" w:rsidR="00037AF3" w:rsidRDefault="00037AF3">
            <w:pPr>
              <w:snapToGrid w:val="0"/>
              <w:jc w:val="center"/>
              <w:rPr>
                <w:b/>
                <w:i/>
                <w:lang w:eastAsia="ar-SA"/>
              </w:rPr>
            </w:pPr>
          </w:p>
          <w:p w14:paraId="337D7DE7" w14:textId="77777777" w:rsidR="00037AF3" w:rsidRDefault="00037AF3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>
              <w:rPr>
                <w:b/>
                <w:i/>
                <w:color w:val="000000"/>
              </w:rPr>
              <w:t>№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3DC55" w14:textId="77777777" w:rsidR="00037AF3" w:rsidRDefault="00037AF3">
            <w:pPr>
              <w:snapToGrid w:val="0"/>
              <w:jc w:val="center"/>
              <w:rPr>
                <w:b/>
                <w:i/>
                <w:lang w:eastAsia="ar-SA"/>
              </w:rPr>
            </w:pPr>
          </w:p>
          <w:p w14:paraId="5C38ABC7" w14:textId="77777777" w:rsidR="00037AF3" w:rsidRDefault="00037A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Найменування предмету закупівлі</w:t>
            </w:r>
          </w:p>
          <w:p w14:paraId="0522D7B9" w14:textId="77777777" w:rsidR="00037AF3" w:rsidRDefault="00037AF3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A934C" w14:textId="77777777" w:rsidR="00037AF3" w:rsidRDefault="00037AF3">
            <w:pPr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Одиниця</w:t>
            </w:r>
          </w:p>
          <w:p w14:paraId="24B1A234" w14:textId="77777777" w:rsidR="00037AF3" w:rsidRDefault="00037AF3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виміру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6554" w14:textId="77777777" w:rsidR="00037AF3" w:rsidRDefault="00037AF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Кількість</w:t>
            </w:r>
          </w:p>
        </w:tc>
      </w:tr>
      <w:tr w:rsidR="00034B55" w14:paraId="06EBE426" w14:textId="77777777" w:rsidTr="00DE4595">
        <w:trPr>
          <w:trHeight w:val="33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F6E3C3" w14:textId="77777777" w:rsidR="00034B55" w:rsidRDefault="00034B55" w:rsidP="00034B55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C9883" w14:textId="05ECD314" w:rsidR="00034B55" w:rsidRDefault="00034B55" w:rsidP="00034B55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>Какао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3D047" w14:textId="77777777" w:rsidR="00034B55" w:rsidRDefault="00034B55" w:rsidP="00034B5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02D8" w14:textId="0A5B7511" w:rsidR="00034B55" w:rsidRDefault="00034B55" w:rsidP="00034B5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</w:t>
            </w:r>
          </w:p>
        </w:tc>
      </w:tr>
      <w:tr w:rsidR="00034B55" w14:paraId="3861F064" w14:textId="77777777" w:rsidTr="00DE4595">
        <w:trPr>
          <w:trHeight w:val="33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708C2D" w14:textId="77777777" w:rsidR="00034B55" w:rsidRDefault="00034B55" w:rsidP="00034B55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E6E31" w14:textId="30AB3811" w:rsidR="00034B55" w:rsidRDefault="00034B55" w:rsidP="00034B55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Коробки цукерок (до 200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63174" w14:textId="2ACD8138" w:rsidR="00034B55" w:rsidRDefault="00034B55" w:rsidP="00034B55">
            <w:pPr>
              <w:suppressAutoHyphens/>
              <w:snapToGri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1F4F" w14:textId="5CC39521" w:rsidR="00034B55" w:rsidRDefault="00034B55" w:rsidP="00034B5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</w:tr>
      <w:tr w:rsidR="00034B55" w14:paraId="62FA0A8D" w14:textId="77777777" w:rsidTr="00DE4595">
        <w:trPr>
          <w:trHeight w:val="33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E6AE40" w14:textId="77777777" w:rsidR="00034B55" w:rsidRDefault="00034B55" w:rsidP="00034B55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7BA20" w14:textId="1D8DE847" w:rsidR="00034B55" w:rsidRDefault="00034B55" w:rsidP="00034B55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>Зефір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C0E2E" w14:textId="5D038534" w:rsidR="00034B55" w:rsidRDefault="00034B55" w:rsidP="00034B55">
            <w:pPr>
              <w:suppressAutoHyphens/>
              <w:snapToGrid w:val="0"/>
              <w:jc w:val="center"/>
            </w:pPr>
            <w:r w:rsidRPr="00D01770">
              <w:t>кг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C92A" w14:textId="4E50BCA0" w:rsidR="00034B55" w:rsidRDefault="00034B55" w:rsidP="00034B5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</w:tr>
      <w:tr w:rsidR="00034B55" w14:paraId="1BB1428A" w14:textId="77777777" w:rsidTr="00DE4595">
        <w:trPr>
          <w:trHeight w:val="33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73A934" w14:textId="77777777" w:rsidR="00034B55" w:rsidRDefault="00034B55" w:rsidP="00034B55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EEB89" w14:textId="7B6DFD61" w:rsidR="00034B55" w:rsidRDefault="00034B55" w:rsidP="00034B55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>Вафлі з начинкою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EB0BA" w14:textId="6B19FA99" w:rsidR="00034B55" w:rsidRDefault="00034B55" w:rsidP="00034B55">
            <w:pPr>
              <w:suppressAutoHyphens/>
              <w:snapToGrid w:val="0"/>
              <w:jc w:val="center"/>
            </w:pPr>
            <w:r w:rsidRPr="00D01770">
              <w:t>кг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8DC2" w14:textId="4AE491DC" w:rsidR="00034B55" w:rsidRDefault="00034B55" w:rsidP="00034B5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</w:t>
            </w:r>
          </w:p>
        </w:tc>
      </w:tr>
      <w:tr w:rsidR="00034B55" w14:paraId="4E8FADE8" w14:textId="77777777" w:rsidTr="00DE4595">
        <w:trPr>
          <w:trHeight w:val="33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B3EFB8" w14:textId="77777777" w:rsidR="00034B55" w:rsidRDefault="00034B55" w:rsidP="00034B55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02C6D" w14:textId="459E74EA" w:rsidR="00034B55" w:rsidRDefault="00034B55" w:rsidP="00034B55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  <w:bCs/>
                <w:shd w:val="clear" w:color="auto" w:fill="FFFFFF"/>
              </w:rPr>
              <w:t xml:space="preserve">Халва </w:t>
            </w:r>
            <w:r w:rsidRPr="006A3DCF">
              <w:rPr>
                <w:b/>
                <w:bCs/>
                <w:shd w:val="clear" w:color="auto" w:fill="FFFFFF"/>
              </w:rPr>
              <w:t>соняшникова (фасована</w:t>
            </w:r>
            <w:r>
              <w:rPr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2F7B" w14:textId="50FBCB28" w:rsidR="00034B55" w:rsidRPr="00D01770" w:rsidRDefault="00034B55" w:rsidP="00034B55">
            <w:pPr>
              <w:suppressAutoHyphens/>
              <w:snapToGrid w:val="0"/>
              <w:jc w:val="center"/>
            </w:pPr>
            <w:r w:rsidRPr="00420107">
              <w:t>кг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7260" w14:textId="259D3309" w:rsidR="00034B55" w:rsidRDefault="00034B55" w:rsidP="00034B5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034B55" w14:paraId="72C93154" w14:textId="77777777" w:rsidTr="00DE4595">
        <w:trPr>
          <w:trHeight w:val="33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0F7FBC" w14:textId="77777777" w:rsidR="00034B55" w:rsidRDefault="00034B55" w:rsidP="00034B55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4430F" w14:textId="6AF80674" w:rsidR="00034B55" w:rsidRDefault="00034B55" w:rsidP="00034B55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  <w:bCs/>
                <w:shd w:val="clear" w:color="auto" w:fill="FFFFFF"/>
              </w:rPr>
              <w:t>Цукерки шоколадні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D88B7" w14:textId="66AD8B61" w:rsidR="00034B55" w:rsidRPr="00D01770" w:rsidRDefault="00034B55" w:rsidP="00034B55">
            <w:pPr>
              <w:suppressAutoHyphens/>
              <w:snapToGrid w:val="0"/>
              <w:jc w:val="center"/>
            </w:pPr>
            <w:r w:rsidRPr="00420107">
              <w:t>кг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AE64" w14:textId="4A9C0395" w:rsidR="00034B55" w:rsidRDefault="00034B55" w:rsidP="00034B5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144</w:t>
            </w:r>
          </w:p>
        </w:tc>
      </w:tr>
      <w:tr w:rsidR="00034B55" w14:paraId="4365CE8E" w14:textId="77777777" w:rsidTr="00DE4595">
        <w:trPr>
          <w:trHeight w:val="33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765F26" w14:textId="77777777" w:rsidR="00034B55" w:rsidRDefault="00034B55" w:rsidP="00034B55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D038D" w14:textId="481C7AFD" w:rsidR="00034B55" w:rsidRDefault="00034B55" w:rsidP="00034B55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  <w:bCs/>
                <w:shd w:val="clear" w:color="auto" w:fill="FFFFFF"/>
              </w:rPr>
              <w:t>Цукерки карамельні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E34C2" w14:textId="2AC8FDE1" w:rsidR="00034B55" w:rsidRPr="00D01770" w:rsidRDefault="00034B55" w:rsidP="00034B55">
            <w:pPr>
              <w:suppressAutoHyphens/>
              <w:snapToGrid w:val="0"/>
              <w:jc w:val="center"/>
            </w:pPr>
            <w:r w:rsidRPr="00420107">
              <w:t>кг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A5C2" w14:textId="085E55C4" w:rsidR="00034B55" w:rsidRDefault="00034B55" w:rsidP="00034B5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</w:tr>
    </w:tbl>
    <w:p w14:paraId="229C4AD1" w14:textId="77777777" w:rsidR="00037AF3" w:rsidRDefault="00037AF3" w:rsidP="00037AF3">
      <w:pPr>
        <w:pStyle w:val="21"/>
        <w:shd w:val="clear" w:color="auto" w:fill="FFFFFF"/>
        <w:spacing w:before="60"/>
        <w:jc w:val="center"/>
        <w:rPr>
          <w:b/>
          <w:color w:val="000000"/>
          <w:szCs w:val="24"/>
          <w:lang w:val="uk-UA"/>
        </w:rPr>
      </w:pPr>
      <w:proofErr w:type="spellStart"/>
      <w:r>
        <w:rPr>
          <w:b/>
          <w:color w:val="000000"/>
        </w:rPr>
        <w:t>Вимоги</w:t>
      </w:r>
      <w:proofErr w:type="spellEnd"/>
      <w:r>
        <w:rPr>
          <w:b/>
          <w:color w:val="000000"/>
        </w:rPr>
        <w:t xml:space="preserve"> до предмету </w:t>
      </w:r>
      <w:proofErr w:type="spellStart"/>
      <w:r>
        <w:rPr>
          <w:b/>
          <w:color w:val="000000"/>
        </w:rPr>
        <w:t>закупівлі</w:t>
      </w:r>
      <w:proofErr w:type="spellEnd"/>
      <w:r>
        <w:rPr>
          <w:b/>
          <w:color w:val="000000"/>
        </w:rPr>
        <w:t xml:space="preserve"> </w:t>
      </w:r>
    </w:p>
    <w:p w14:paraId="60EEF290" w14:textId="77777777" w:rsidR="00037AF3" w:rsidRDefault="00037AF3" w:rsidP="00037AF3">
      <w:pPr>
        <w:pStyle w:val="210"/>
        <w:numPr>
          <w:ilvl w:val="0"/>
          <w:numId w:val="2"/>
        </w:numPr>
        <w:spacing w:line="240" w:lineRule="auto"/>
        <w:jc w:val="both"/>
        <w:rPr>
          <w:u w:val="single"/>
        </w:rPr>
      </w:pPr>
      <w:r>
        <w:rPr>
          <w:u w:val="single"/>
          <w:lang w:val="uk-UA"/>
        </w:rPr>
        <w:t>Відповідність технічним та якісним характеристикам:</w:t>
      </w: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13"/>
      </w:tblGrid>
      <w:tr w:rsidR="00037AF3" w14:paraId="067704C6" w14:textId="77777777" w:rsidTr="00037A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DC78D2" w14:textId="77777777" w:rsidR="00037AF3" w:rsidRDefault="00037AF3">
            <w:pPr>
              <w:pStyle w:val="a5"/>
            </w:pPr>
            <w:r>
              <w:t>№ п\п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3E975" w14:textId="77777777" w:rsidR="00037AF3" w:rsidRDefault="00037AF3">
            <w:pPr>
              <w:pStyle w:val="a5"/>
            </w:pPr>
            <w:r>
              <w:t>Найменування товару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EFE6D3" w14:textId="77777777" w:rsidR="00037AF3" w:rsidRDefault="00037AF3">
            <w:pPr>
              <w:pStyle w:val="a5"/>
            </w:pPr>
            <w:r>
              <w:t>Опис та характеристика товару</w:t>
            </w:r>
          </w:p>
        </w:tc>
      </w:tr>
      <w:tr w:rsidR="00037AF3" w14:paraId="3B51C700" w14:textId="77777777" w:rsidTr="00037A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EC46C" w14:textId="77777777" w:rsidR="00037AF3" w:rsidRDefault="00037AF3" w:rsidP="00D66699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19765" w14:textId="4E8C7AD1" w:rsidR="00037AF3" w:rsidRPr="00F84DD5" w:rsidRDefault="00034B55" w:rsidP="008F6502">
            <w:pPr>
              <w:pStyle w:val="a5"/>
              <w:rPr>
                <w:lang w:val="ru-RU"/>
              </w:rPr>
            </w:pPr>
            <w:r>
              <w:rPr>
                <w:b/>
              </w:rPr>
              <w:t>Какао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57CCF" w14:textId="5642A9AB" w:rsidR="00037AF3" w:rsidRPr="00F84DD5" w:rsidRDefault="00034B55" w:rsidP="00F84DD5">
            <w:pPr>
              <w:jc w:val="both"/>
            </w:pPr>
            <w:r>
              <w:t>п</w:t>
            </w:r>
            <w:r w:rsidRPr="00014AA1">
              <w:t>орошок від світло-коричневого до темно-коричневого кольору, не допускається тьмяний сірий відтінок. Запах характерний даному виду продукції, без сторонніх запахів і присмаків. Термін придатності від загального терміну зберігання, передбаченого виробником, на час поставки  80%.</w:t>
            </w:r>
          </w:p>
        </w:tc>
      </w:tr>
      <w:tr w:rsidR="008F6502" w14:paraId="6504FB4E" w14:textId="77777777" w:rsidTr="00037A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687C5" w14:textId="08E81B70" w:rsidR="008F6502" w:rsidRDefault="008F6502" w:rsidP="00D66699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33DAD" w14:textId="2A8CE245" w:rsidR="008F6502" w:rsidRDefault="00034B55" w:rsidP="008F6502">
            <w:pPr>
              <w:pStyle w:val="a5"/>
              <w:rPr>
                <w:b/>
              </w:rPr>
            </w:pPr>
            <w:r>
              <w:rPr>
                <w:b/>
              </w:rPr>
              <w:t xml:space="preserve">Коробки цукерок (до 200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D6A9" w14:textId="02DD6DBF" w:rsidR="008F6502" w:rsidRPr="00F84DD5" w:rsidRDefault="00034B55" w:rsidP="00A764EC">
            <w:pPr>
              <w:jc w:val="both"/>
              <w:rPr>
                <w:color w:val="000000"/>
                <w:lang w:eastAsia="ar-SA"/>
              </w:rPr>
            </w:pPr>
            <w:r w:rsidRPr="00014AA1">
              <w:rPr>
                <w:color w:val="000000"/>
              </w:rPr>
              <w:t xml:space="preserve">вироби повинні мати </w:t>
            </w:r>
            <w:r>
              <w:rPr>
                <w:color w:val="000000"/>
              </w:rPr>
              <w:t>неушкоджену коробку</w:t>
            </w:r>
            <w:r w:rsidRPr="00014AA1">
              <w:rPr>
                <w:color w:val="000000"/>
              </w:rPr>
              <w:t xml:space="preserve">. </w:t>
            </w:r>
            <w:r>
              <w:t>Коробки</w:t>
            </w:r>
            <w:r w:rsidRPr="00060F58">
              <w:t xml:space="preserve"> не повин</w:t>
            </w:r>
            <w:r>
              <w:t xml:space="preserve">ні </w:t>
            </w:r>
            <w:r w:rsidRPr="00060F58">
              <w:t>мати</w:t>
            </w:r>
            <w:r>
              <w:t xml:space="preserve"> </w:t>
            </w:r>
            <w:r w:rsidRPr="00060F58">
              <w:t xml:space="preserve">дефектів товарного вигляду, </w:t>
            </w:r>
            <w:r>
              <w:t xml:space="preserve">цукерки </w:t>
            </w:r>
            <w:r w:rsidRPr="00060F58">
              <w:t>повин</w:t>
            </w:r>
            <w:r>
              <w:t>ні</w:t>
            </w:r>
            <w:r w:rsidRPr="00060F58">
              <w:t xml:space="preserve"> бути упакован</w:t>
            </w:r>
            <w:r>
              <w:t xml:space="preserve">і </w:t>
            </w:r>
            <w:r w:rsidRPr="00060F58">
              <w:t>таким чином, щоб</w:t>
            </w:r>
            <w:r>
              <w:t xml:space="preserve"> </w:t>
            </w:r>
            <w:r w:rsidRPr="00060F58">
              <w:t>виключати</w:t>
            </w:r>
            <w:r>
              <w:t xml:space="preserve"> </w:t>
            </w:r>
            <w:r w:rsidRPr="00060F58">
              <w:t>псування</w:t>
            </w:r>
            <w:r>
              <w:t xml:space="preserve"> </w:t>
            </w:r>
            <w:r w:rsidRPr="00060F58">
              <w:t>або</w:t>
            </w:r>
            <w:r>
              <w:t xml:space="preserve"> </w:t>
            </w:r>
            <w:r w:rsidRPr="00060F58">
              <w:t>нищення</w:t>
            </w:r>
            <w:r>
              <w:t xml:space="preserve"> </w:t>
            </w:r>
            <w:r w:rsidRPr="00060F58">
              <w:t>його на період поставки, зберігати</w:t>
            </w:r>
            <w:r>
              <w:t xml:space="preserve"> </w:t>
            </w:r>
            <w:r w:rsidRPr="00060F58">
              <w:t>смакові та якісні характеристики.</w:t>
            </w:r>
            <w:r>
              <w:t xml:space="preserve"> </w:t>
            </w:r>
            <w:r w:rsidRPr="00014AA1">
              <w:rPr>
                <w:color w:val="000000"/>
              </w:rPr>
              <w:t>Поверхня глазурованих виробів має бути блискучою. Смак і запах характерний даному виду продукції. Без сторонніх присмаків і запахів.  Термін придатності від загального терміну зберігання, передбаченого виробником, на час поставки не менше ніж 80%.</w:t>
            </w:r>
          </w:p>
        </w:tc>
      </w:tr>
      <w:tr w:rsidR="00A764EC" w14:paraId="1E10FABB" w14:textId="77777777" w:rsidTr="00037A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8EB17" w14:textId="2DC2B2A3" w:rsidR="00A764EC" w:rsidRDefault="00A764EC" w:rsidP="00D66699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FACD7" w14:textId="126B44A3" w:rsidR="00A764EC" w:rsidRDefault="00034B55" w:rsidP="008F6502">
            <w:pPr>
              <w:pStyle w:val="a5"/>
              <w:rPr>
                <w:b/>
              </w:rPr>
            </w:pPr>
            <w:r>
              <w:rPr>
                <w:b/>
              </w:rPr>
              <w:t>Зефір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6ABFE" w14:textId="3113152C" w:rsidR="00A764EC" w:rsidRPr="00A764EC" w:rsidRDefault="00034B55" w:rsidP="00A764EC">
            <w:pPr>
              <w:widowControl w:val="0"/>
              <w:suppressAutoHyphens/>
              <w:autoSpaceDE w:val="0"/>
              <w:jc w:val="both"/>
            </w:pPr>
            <w:r>
              <w:rPr>
                <w:color w:val="000000"/>
              </w:rPr>
              <w:t>с</w:t>
            </w:r>
            <w:r w:rsidRPr="00493AE8">
              <w:rPr>
                <w:color w:val="000000"/>
              </w:rPr>
              <w:t>мак і запах характерний даному виду продукції. Без сторонніх присмаків і запахів. Колір білий або блідо-рожевий. Термін придатності від загального терміну зберігання, передбаченого виробником, на час поставки не менше ніж 80%.</w:t>
            </w:r>
          </w:p>
        </w:tc>
      </w:tr>
      <w:tr w:rsidR="00A764EC" w14:paraId="38E08ECD" w14:textId="77777777" w:rsidTr="00037A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55E92" w14:textId="19D31655" w:rsidR="00A764EC" w:rsidRDefault="00A764EC" w:rsidP="00D66699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9EE5D" w14:textId="2916119D" w:rsidR="00A764EC" w:rsidRDefault="00034B55" w:rsidP="008F6502">
            <w:pPr>
              <w:pStyle w:val="a5"/>
              <w:rPr>
                <w:b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Вафлі </w:t>
            </w:r>
            <w:r w:rsidRPr="006A3DCF">
              <w:rPr>
                <w:b/>
                <w:bCs/>
                <w:color w:val="000000"/>
                <w:lang w:eastAsia="ar-SA"/>
              </w:rPr>
              <w:t>з начинкою</w:t>
            </w:r>
            <w:r>
              <w:rPr>
                <w:b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5234" w14:textId="4EAE7D9D" w:rsidR="00A764EC" w:rsidRPr="00D926E2" w:rsidRDefault="00034B55" w:rsidP="00D926E2">
            <w:pPr>
              <w:pStyle w:val="a3"/>
              <w:jc w:val="both"/>
              <w:rPr>
                <w:rFonts w:ascii="Times New Roman" w:eastAsia="Arial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</w:t>
            </w:r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мак і запах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характерний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назві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вафель. Без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сторонніх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присмаків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і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запахів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Поверхня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з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чітким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малюнком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, з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рівним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обрізом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, без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підтікань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Вафлі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повинні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мати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однаковий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розмір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та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правильну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форму.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Вафельний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лист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має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щільно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прилягати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до начинки.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Колір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начинки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однорідний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Термін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придатності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від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загального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терміну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зберігання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передбаченого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виробником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, на час поставки не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менше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ніж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80%.</w:t>
            </w:r>
          </w:p>
        </w:tc>
      </w:tr>
      <w:tr w:rsidR="00034B55" w14:paraId="5BC05C77" w14:textId="77777777" w:rsidTr="00037A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4B381" w14:textId="3F82712C" w:rsidR="00034B55" w:rsidRDefault="00034B55" w:rsidP="00D66699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716AE" w14:textId="03940ED8" w:rsidR="00034B55" w:rsidRDefault="00034B55" w:rsidP="008F6502">
            <w:pPr>
              <w:pStyle w:val="a5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Халва </w:t>
            </w:r>
            <w:r w:rsidRPr="006A3DCF">
              <w:rPr>
                <w:b/>
                <w:bCs/>
                <w:color w:val="000000"/>
                <w:lang w:eastAsia="ar-SA"/>
              </w:rPr>
              <w:t>соняшникова (фасована)</w:t>
            </w:r>
            <w:r w:rsidRPr="0067799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019B" w14:textId="55778373" w:rsidR="00034B55" w:rsidRDefault="00034B55" w:rsidP="00034B55">
            <w:pPr>
              <w:tabs>
                <w:tab w:val="left" w:pos="4840"/>
                <w:tab w:val="left" w:pos="5609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халва фасована до 500 гр. С</w:t>
            </w:r>
            <w:r w:rsidRPr="00014AA1">
              <w:rPr>
                <w:color w:val="000000"/>
              </w:rPr>
              <w:t xml:space="preserve">мак і запах характерний даному виду продукції. Без сторонніх присмаків і запахів. Колір світло-сірий, допускається з включенням жовтувато-сірого. Консистенція </w:t>
            </w:r>
            <w:r>
              <w:rPr>
                <w:color w:val="000000"/>
              </w:rPr>
              <w:t>-</w:t>
            </w:r>
            <w:proofErr w:type="spellStart"/>
            <w:r w:rsidRPr="00014AA1">
              <w:rPr>
                <w:color w:val="000000"/>
              </w:rPr>
              <w:lastRenderedPageBreak/>
              <w:t>волокнистошарувата</w:t>
            </w:r>
            <w:proofErr w:type="spellEnd"/>
            <w:r w:rsidRPr="00014AA1">
              <w:rPr>
                <w:color w:val="000000"/>
              </w:rPr>
              <w:t>. Термін придатності від загального терміну зберігання, передбаченого виробником, на час поставки не менше ніж 80%.</w:t>
            </w:r>
          </w:p>
        </w:tc>
      </w:tr>
      <w:tr w:rsidR="00034B55" w14:paraId="1851A6C0" w14:textId="77777777" w:rsidTr="00037A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8342B" w14:textId="620A3189" w:rsidR="00034B55" w:rsidRDefault="00034B55" w:rsidP="00D66699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647E3" w14:textId="2A74BE7B" w:rsidR="00034B55" w:rsidRDefault="00034B55" w:rsidP="008F6502">
            <w:pPr>
              <w:pStyle w:val="a5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Цукерки шоколадні</w:t>
            </w:r>
            <w:r w:rsidRPr="0067799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A973" w14:textId="695BA2E2" w:rsidR="00034B55" w:rsidRDefault="00034B55" w:rsidP="00D926E2">
            <w:pPr>
              <w:pStyle w:val="a3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</w:t>
            </w:r>
            <w:r w:rsidRPr="00034B55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агорнуті вироби повинні мати цілу обгортку, що щільно їх облягає, підгортка може виступати з під етикетки не більше як на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34B55">
                <w:rPr>
                  <w:rFonts w:ascii="Times New Roman" w:hAnsi="Times New Roman"/>
                  <w:color w:val="000000"/>
                  <w:szCs w:val="24"/>
                  <w:lang w:val="uk-UA"/>
                </w:rPr>
                <w:t>2 мм</w:t>
              </w:r>
            </w:smartTag>
            <w:r w:rsidRPr="00034B55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Поверхня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глазурованих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виробів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має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бути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блискучою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. Смак і запах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характерний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даному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виду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продукції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. Без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сторонніх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присмаків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і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запахів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. 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Термін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придатності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від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загального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терміну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зберігання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передбаченого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виробником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, на час поставки не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менше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14AA1">
              <w:rPr>
                <w:rFonts w:ascii="Times New Roman" w:hAnsi="Times New Roman"/>
                <w:color w:val="000000"/>
                <w:szCs w:val="24"/>
              </w:rPr>
              <w:t>ніж</w:t>
            </w:r>
            <w:proofErr w:type="spellEnd"/>
            <w:r w:rsidRPr="00014AA1">
              <w:rPr>
                <w:rFonts w:ascii="Times New Roman" w:hAnsi="Times New Roman"/>
                <w:color w:val="000000"/>
                <w:szCs w:val="24"/>
              </w:rPr>
              <w:t xml:space="preserve"> 80%.</w:t>
            </w:r>
          </w:p>
        </w:tc>
      </w:tr>
      <w:tr w:rsidR="00034B55" w14:paraId="75FE8007" w14:textId="77777777" w:rsidTr="00037A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6E4E7" w14:textId="3C1B3008" w:rsidR="00034B55" w:rsidRDefault="00034B55" w:rsidP="00D66699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81A87" w14:textId="06DBB7E3" w:rsidR="00034B55" w:rsidRDefault="00034B55" w:rsidP="008F6502">
            <w:pPr>
              <w:pStyle w:val="a5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Цукерки карамельні</w:t>
            </w:r>
            <w:r w:rsidRPr="0067799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E981F" w14:textId="7EBDEA3C" w:rsidR="00034B55" w:rsidRPr="00034B55" w:rsidRDefault="00034B55" w:rsidP="00034B55">
            <w:pPr>
              <w:tabs>
                <w:tab w:val="left" w:pos="4840"/>
                <w:tab w:val="left" w:pos="5609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з</w:t>
            </w:r>
            <w:r w:rsidRPr="00014AA1">
              <w:rPr>
                <w:color w:val="000000"/>
              </w:rPr>
              <w:t xml:space="preserve">агорнуті вироби повинні мати цілу обгортку, що щільно їх облягає, підгортка може виступати з під етикетки не більше як на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14AA1">
                <w:rPr>
                  <w:color w:val="000000"/>
                </w:rPr>
                <w:t>2 мм</w:t>
              </w:r>
            </w:smartTag>
            <w:r w:rsidRPr="00014AA1">
              <w:rPr>
                <w:color w:val="000000"/>
              </w:rPr>
              <w:t>. Поверхня виробів має бути сухою не липкою. Смак і запах характерний даному виду продукції. Без сторонніх присмаків і запахів.  Термін придатності від загального терміну зберігання, передбаченого виробником, на час поставки не менше ніж 80%.</w:t>
            </w:r>
          </w:p>
        </w:tc>
      </w:tr>
    </w:tbl>
    <w:p w14:paraId="4B4C0E83" w14:textId="77777777" w:rsidR="00037AF3" w:rsidRDefault="00037AF3" w:rsidP="00037AF3">
      <w:pPr>
        <w:ind w:firstLine="720"/>
        <w:jc w:val="both"/>
        <w:rPr>
          <w:lang w:eastAsia="ar-SA"/>
        </w:rPr>
      </w:pPr>
      <w:r>
        <w:t xml:space="preserve">2. </w:t>
      </w:r>
      <w:r>
        <w:rPr>
          <w:u w:val="single"/>
        </w:rPr>
        <w:t>Санітарно-гігієнічні вимоги до постачання, безпеки, якості, умов зберігання</w:t>
      </w:r>
      <w:r w:rsidRPr="00D66699">
        <w:rPr>
          <w:bCs/>
          <w:u w:val="single"/>
        </w:rPr>
        <w:t>:</w:t>
      </w:r>
      <w:r>
        <w:t xml:space="preserve"> </w:t>
      </w:r>
    </w:p>
    <w:p w14:paraId="3FD58451" w14:textId="77777777" w:rsidR="00037AF3" w:rsidRDefault="00037AF3" w:rsidP="00037AF3">
      <w:pPr>
        <w:ind w:firstLine="720"/>
        <w:jc w:val="both"/>
      </w:pPr>
      <w:r>
        <w:t>Товар повинен відповідати вимогам Закону України “Про основні принципи та вимоги до безпечності та якості харчових продуктів” від 23.12.1997 № 771/97-ВР (в редакції Закону № 1602-VII від 22.07.2014, із змінами, внесеними згідно із Законом № 67-VIII від 28.12.2014). Товар, що постачається повинен супроводжуватись документами, що підтверджують безпечність і якість продуктів.</w:t>
      </w:r>
    </w:p>
    <w:p w14:paraId="7D41F143" w14:textId="77777777" w:rsidR="00037AF3" w:rsidRDefault="00037AF3" w:rsidP="00037AF3">
      <w:pPr>
        <w:tabs>
          <w:tab w:val="left" w:pos="360"/>
        </w:tabs>
        <w:ind w:firstLine="720"/>
        <w:jc w:val="both"/>
      </w:pPr>
      <w:r>
        <w:t>3. Товар, який передбачений даним технічним завданням, повинен бути упакований таким чином, щоб уникнути його пошкодження та відповідати вимогам ДСТУ та іншим документам, що засвідчують якість.</w:t>
      </w:r>
    </w:p>
    <w:p w14:paraId="65D18F5F" w14:textId="77777777" w:rsidR="00037AF3" w:rsidRDefault="00037AF3" w:rsidP="00037AF3">
      <w:pPr>
        <w:ind w:firstLine="720"/>
        <w:jc w:val="both"/>
      </w:pPr>
      <w:r>
        <w:t>4. Водій (експедитор) обов'язково повинен мати копію особистої медичної книжки водія.</w:t>
      </w:r>
    </w:p>
    <w:p w14:paraId="33762F6A" w14:textId="5982B5B2" w:rsidR="00037AF3" w:rsidRDefault="00037AF3" w:rsidP="00037AF3">
      <w:pPr>
        <w:ind w:firstLine="720"/>
        <w:jc w:val="both"/>
      </w:pPr>
      <w:r>
        <w:t xml:space="preserve">5. Ціни вказуються за 1 кг товару з урахуванням податків і зборів, що сплачуються або мають бути сплачені, транспортних витрат, </w:t>
      </w:r>
      <w:proofErr w:type="spellStart"/>
      <w:r>
        <w:t>навантажувально</w:t>
      </w:r>
      <w:proofErr w:type="spellEnd"/>
      <w:r>
        <w:t>-розвантажувальних робіт та тари.</w:t>
      </w:r>
    </w:p>
    <w:p w14:paraId="5805D1AB" w14:textId="77777777" w:rsidR="00037AF3" w:rsidRDefault="00037AF3" w:rsidP="00037AF3">
      <w:pPr>
        <w:ind w:firstLine="720"/>
        <w:jc w:val="both"/>
      </w:pPr>
      <w:r>
        <w:t>6. Кількість товару може бути зменшена залежно від реального фінансування видатків</w:t>
      </w:r>
    </w:p>
    <w:p w14:paraId="724976FE" w14:textId="77777777" w:rsidR="00037AF3" w:rsidRDefault="00037AF3" w:rsidP="00037AF3">
      <w:pPr>
        <w:ind w:firstLine="709"/>
        <w:jc w:val="both"/>
      </w:pPr>
      <w:r>
        <w:t xml:space="preserve">7. Поставка Товару здійснюється </w:t>
      </w:r>
      <w:r>
        <w:rPr>
          <w:b/>
        </w:rPr>
        <w:t>згідно заявки</w:t>
      </w:r>
      <w:r>
        <w:t xml:space="preserve"> за </w:t>
      </w:r>
      <w:proofErr w:type="spellStart"/>
      <w:r>
        <w:t>адресою</w:t>
      </w:r>
      <w:proofErr w:type="spellEnd"/>
      <w:r>
        <w:t xml:space="preserve">: м. Луцьк, вул. </w:t>
      </w:r>
      <w:proofErr w:type="spellStart"/>
      <w:r>
        <w:t>Теремнівська</w:t>
      </w:r>
      <w:proofErr w:type="spellEnd"/>
      <w:r>
        <w:t>, 70;  автомобільним транспортом Постачальника.</w:t>
      </w:r>
    </w:p>
    <w:p w14:paraId="0766E15E" w14:textId="1C116D22" w:rsidR="00037AF3" w:rsidRDefault="00037AF3" w:rsidP="00037AF3">
      <w:pPr>
        <w:ind w:firstLine="709"/>
        <w:jc w:val="both"/>
      </w:pPr>
      <w:r>
        <w:t xml:space="preserve">8. Строк поставки товару: </w:t>
      </w:r>
      <w:r w:rsidR="00D926E2">
        <w:t xml:space="preserve">з моменту підписання договору </w:t>
      </w:r>
      <w:r w:rsidR="00D66699">
        <w:t>-</w:t>
      </w:r>
      <w:r w:rsidR="00D926E2">
        <w:t xml:space="preserve"> </w:t>
      </w:r>
      <w:r>
        <w:t>31 грудня  202</w:t>
      </w:r>
      <w:r w:rsidR="00ED40CD">
        <w:t>3</w:t>
      </w:r>
      <w:r>
        <w:t xml:space="preserve"> року.</w:t>
      </w:r>
    </w:p>
    <w:p w14:paraId="10E086A1" w14:textId="77777777" w:rsidR="00037AF3" w:rsidRDefault="00037AF3" w:rsidP="00037AF3">
      <w:pPr>
        <w:ind w:firstLine="709"/>
        <w:jc w:val="both"/>
      </w:pPr>
      <w:r>
        <w:t>9. Розвантаження товару здійснюється представниками Постачальника.</w:t>
      </w:r>
    </w:p>
    <w:p w14:paraId="109979CD" w14:textId="77777777" w:rsidR="00037AF3" w:rsidRDefault="00037AF3" w:rsidP="00037AF3">
      <w:pPr>
        <w:ind w:firstLine="709"/>
        <w:jc w:val="both"/>
      </w:pPr>
    </w:p>
    <w:p w14:paraId="6AE2607F" w14:textId="77777777" w:rsidR="00037AF3" w:rsidRDefault="00037AF3" w:rsidP="00037AF3">
      <w:pPr>
        <w:spacing w:line="240" w:lineRule="exact"/>
        <w:ind w:left="2832" w:firstLine="708"/>
        <w:jc w:val="right"/>
        <w:rPr>
          <w:sz w:val="28"/>
          <w:szCs w:val="28"/>
        </w:rPr>
      </w:pPr>
    </w:p>
    <w:p w14:paraId="099CDCBB" w14:textId="77777777" w:rsidR="00037AF3" w:rsidRDefault="00037AF3" w:rsidP="00037AF3">
      <w:pPr>
        <w:spacing w:line="240" w:lineRule="exact"/>
      </w:pPr>
      <w:r>
        <w:rPr>
          <w:b/>
        </w:rPr>
        <w:t>Пропозиції, що не відповідають усім вказаним вимогам,  відхиляються.</w:t>
      </w:r>
    </w:p>
    <w:p w14:paraId="61CC9752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00D61722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30422DDF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75E69887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2A767A8D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1E484D10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56C1307C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4C6DDE70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2DFB3CEA" w14:textId="77777777" w:rsidR="006D03F5" w:rsidRDefault="006D03F5"/>
    <w:sectPr w:rsidR="006D0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AE431F1"/>
    <w:multiLevelType w:val="hybridMultilevel"/>
    <w:tmpl w:val="D4484A56"/>
    <w:lvl w:ilvl="0" w:tplc="31B8A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33467233">
    <w:abstractNumId w:val="0"/>
    <w:lvlOverride w:ilvl="0">
      <w:startOverride w:val="1"/>
    </w:lvlOverride>
  </w:num>
  <w:num w:numId="2" w16cid:durableId="489175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4E"/>
    <w:rsid w:val="00034B55"/>
    <w:rsid w:val="00037AF3"/>
    <w:rsid w:val="00156DF9"/>
    <w:rsid w:val="0041274E"/>
    <w:rsid w:val="00601F81"/>
    <w:rsid w:val="006D03F5"/>
    <w:rsid w:val="00827EBC"/>
    <w:rsid w:val="008F6502"/>
    <w:rsid w:val="00A764EC"/>
    <w:rsid w:val="00CF17D3"/>
    <w:rsid w:val="00D66699"/>
    <w:rsid w:val="00D926E2"/>
    <w:rsid w:val="00EC2606"/>
    <w:rsid w:val="00ED40CD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30CD1"/>
  <w15:docId w15:val="{39CEDD62-2D94-4D49-8A88-B24227AF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1F81"/>
    <w:pPr>
      <w:spacing w:after="0" w:line="240" w:lineRule="auto"/>
    </w:pPr>
    <w:rPr>
      <w:rFonts w:ascii="Calibri" w:eastAsia="Calibri" w:hAnsi="Calibri" w:cs="Times New Roman"/>
      <w:sz w:val="24"/>
      <w:lang w:val="ru-RU"/>
    </w:rPr>
  </w:style>
  <w:style w:type="paragraph" w:customStyle="1" w:styleId="a5">
    <w:name w:val="Содержимое таблицы"/>
    <w:basedOn w:val="a"/>
    <w:qFormat/>
    <w:rsid w:val="00601F81"/>
    <w:pPr>
      <w:suppressLineNumbers/>
    </w:pPr>
  </w:style>
  <w:style w:type="character" w:customStyle="1" w:styleId="a4">
    <w:name w:val="Без інтервалів Знак"/>
    <w:link w:val="a3"/>
    <w:rsid w:val="00601F81"/>
    <w:rPr>
      <w:rFonts w:ascii="Calibri" w:eastAsia="Calibri" w:hAnsi="Calibri" w:cs="Times New Roman"/>
      <w:sz w:val="24"/>
      <w:lang w:val="ru-RU"/>
    </w:rPr>
  </w:style>
  <w:style w:type="paragraph" w:customStyle="1" w:styleId="21">
    <w:name w:val="Основной текст с отступом 21"/>
    <w:basedOn w:val="a"/>
    <w:rsid w:val="00601F81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210">
    <w:name w:val="Основной текст 21"/>
    <w:basedOn w:val="a"/>
    <w:rsid w:val="00601F81"/>
    <w:pPr>
      <w:suppressAutoHyphens/>
      <w:spacing w:after="120" w:line="480" w:lineRule="auto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14</cp:revision>
  <dcterms:created xsi:type="dcterms:W3CDTF">2020-11-26T11:48:00Z</dcterms:created>
  <dcterms:modified xsi:type="dcterms:W3CDTF">2023-03-08T13:28:00Z</dcterms:modified>
</cp:coreProperties>
</file>