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7A794040" w:rsidR="00C9504B" w:rsidRPr="007E5F33" w:rsidRDefault="0081286B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</w:tc>
      </w:tr>
      <w:tr w:rsidR="00E0023E" w:rsidRPr="007E5F33" w14:paraId="0827DDEC" w14:textId="77777777" w:rsidTr="002E3760">
        <w:tc>
          <w:tcPr>
            <w:tcW w:w="4820" w:type="dxa"/>
          </w:tcPr>
          <w:p w14:paraId="60600CE5" w14:textId="4C24D1EC" w:rsidR="00E0023E" w:rsidRDefault="00E0023E" w:rsidP="00E0023E">
            <w:pPr>
              <w:pStyle w:val="Standard"/>
              <w:jc w:val="both"/>
              <w:rPr>
                <w:lang w:val="uk-UA"/>
              </w:rPr>
            </w:pPr>
            <w:r w:rsidRPr="00262674">
              <w:rPr>
                <w:lang w:val="uk-UA"/>
              </w:rPr>
              <w:t>1.1. Кінцевий строк подання тендерних пропозицій - 12.12. 2023 о 00:00.</w:t>
            </w:r>
          </w:p>
        </w:tc>
        <w:tc>
          <w:tcPr>
            <w:tcW w:w="6237" w:type="dxa"/>
            <w:shd w:val="clear" w:color="auto" w:fill="auto"/>
          </w:tcPr>
          <w:p w14:paraId="5FDBA3CD" w14:textId="59211B88" w:rsidR="00E0023E" w:rsidRPr="00E0023E" w:rsidRDefault="00E0023E" w:rsidP="00E0023E">
            <w:pPr>
              <w:pStyle w:val="Standard"/>
              <w:jc w:val="both"/>
              <w:rPr>
                <w:lang w:val="uk-UA"/>
              </w:rPr>
            </w:pPr>
            <w:r w:rsidRPr="00262674">
              <w:rPr>
                <w:lang w:val="uk-UA"/>
              </w:rPr>
              <w:t>1.1. Кінцевий строк подання тендерних пропозицій - 1</w:t>
            </w:r>
            <w:r>
              <w:rPr>
                <w:lang w:val="uk-UA"/>
              </w:rPr>
              <w:t>3</w:t>
            </w:r>
            <w:r w:rsidRPr="00262674">
              <w:rPr>
                <w:lang w:val="uk-UA"/>
              </w:rPr>
              <w:t>.12. 2023 о 00:00.</w:t>
            </w:r>
          </w:p>
        </w:tc>
      </w:tr>
      <w:tr w:rsidR="00A57574" w:rsidRPr="007E5F33" w14:paraId="114CB7D0" w14:textId="77777777" w:rsidTr="002E3760">
        <w:tc>
          <w:tcPr>
            <w:tcW w:w="4820" w:type="dxa"/>
          </w:tcPr>
          <w:p w14:paraId="53261CF1" w14:textId="31C34DF2" w:rsidR="00A57574" w:rsidRPr="007E5F33" w:rsidRDefault="00F5522E" w:rsidP="005248B1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 тендерних пропозицій здійснюється на основі критерію „Ціна”. Питома вага – 100 %.</w:t>
            </w:r>
          </w:p>
        </w:tc>
        <w:tc>
          <w:tcPr>
            <w:tcW w:w="6237" w:type="dxa"/>
            <w:shd w:val="clear" w:color="auto" w:fill="auto"/>
          </w:tcPr>
          <w:p w14:paraId="41D15A10" w14:textId="26C588F9" w:rsidR="006A4B73" w:rsidRDefault="00F5522E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52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Оцінка тендерних пропозицій здійснюється на основі критерію „Ціна”. Питома вага – 100 %</w:t>
            </w:r>
            <w:r w:rsidR="006A4B73" w:rsidRPr="006A4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127FE680" w14:textId="169734CD" w:rsidR="00F97186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77777777" w:rsidR="00F97186" w:rsidRPr="009C72A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прогн.е</w:t>
            </w:r>
            <w:bookmarkStart w:id="0" w:name="_GoBack"/>
            <w:bookmarkEnd w:id="0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.) * 1,2, грн з ПДВ де,</w:t>
            </w:r>
          </w:p>
          <w:p w14:paraId="405DA4DC" w14:textId="77777777" w:rsidR="00F97186" w:rsidRPr="00A40894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ї пропозиції) у гривні (UAH);</w:t>
            </w:r>
          </w:p>
          <w:p w14:paraId="638A6D07" w14:textId="7E4960A5" w:rsidR="00F97186" w:rsidRPr="00A40894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 </w:t>
            </w:r>
            <w:r w:rsidR="007E5F33"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A81DB4" w:rsidRPr="00A81D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160</w:t>
            </w:r>
            <w:r w:rsidR="00A81D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A81DB4" w:rsidRPr="00A81D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000</w:t>
            </w:r>
            <w:r w:rsidR="007E5F33"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кВт*год.</w:t>
            </w:r>
          </w:p>
          <w:p w14:paraId="50858EF7" w14:textId="17340282" w:rsidR="00F97186" w:rsidRPr="00A40894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="00A81DB4" w:rsidRPr="00A81D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4,8381</w:t>
            </w:r>
            <w:r w:rsidR="006A4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грн. за 1 кВт*год без ПДВ;</w:t>
            </w:r>
          </w:p>
          <w:p w14:paraId="2ECA8960" w14:textId="77777777" w:rsidR="00F97186" w:rsidRPr="009C72A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ДВ;</w:t>
            </w:r>
          </w:p>
          <w:p w14:paraId="2B04F414" w14:textId="77777777" w:rsidR="00F97186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Примітка: Маржа не може бути величиною від’ємною. З метою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F97186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3019C2F5" w:rsidR="00F97186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21.12.2022 р. № 1788 – 0,4851 грн. за 1 кВт*год. без ПДВ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78312B08" w14:textId="7C828884" w:rsidR="00A57574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(ПДВ-20 %).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d">
    <w:name w:val="Основной текст Знак"/>
    <w:basedOn w:val="a1"/>
    <w:link w:val="ac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"/>
    <w:uiPriority w:val="99"/>
    <w:qFormat/>
    <w:rsid w:val="0051371E"/>
    <w:pPr>
      <w:ind w:left="720"/>
      <w:contextualSpacing/>
    </w:pPr>
  </w:style>
  <w:style w:type="character" w:customStyle="1" w:styleId="af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e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0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343</Words>
  <Characters>1959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2021-09-23T15:12:00Z</cp:lastPrinted>
  <dcterms:created xsi:type="dcterms:W3CDTF">2021-09-23T14:46:00Z</dcterms:created>
  <dcterms:modified xsi:type="dcterms:W3CDTF">2023-12-08T10:13:00Z</dcterms:modified>
</cp:coreProperties>
</file>