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1B4" w14:textId="239B2C54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Протокол № 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15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/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01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-2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</w:t>
      </w:r>
      <w:r w:rsidR="007912F8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</w:p>
    <w:p w14:paraId="2FD86118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Уповноваженого з публічних </w:t>
      </w:r>
      <w:proofErr w:type="spellStart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закупівель</w:t>
      </w:r>
      <w:proofErr w:type="spellEnd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</w:p>
    <w:p w14:paraId="1B11B33B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115AC4A" w14:textId="57C45EBC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Київ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                                      </w:t>
      </w:r>
      <w:r w:rsid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«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15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» 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січня</w:t>
      </w:r>
      <w:r w:rsidR="005E1D49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202</w:t>
      </w:r>
      <w:r w:rsidR="001E36B4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року</w:t>
      </w:r>
    </w:p>
    <w:p w14:paraId="34610129" w14:textId="77777777" w:rsidR="00BF12F0" w:rsidRPr="00F951DF" w:rsidRDefault="00BF12F0" w:rsidP="00BF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F951D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F951DF">
        <w:rPr>
          <w:rFonts w:ascii="Times New Roman" w:hAnsi="Times New Roman" w:cs="Times New Roman"/>
          <w:b/>
          <w:sz w:val="24"/>
          <w:szCs w:val="24"/>
        </w:rPr>
        <w:t>:</w:t>
      </w: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5BB54" w14:textId="553417F1" w:rsidR="00C9199C" w:rsidRPr="00BF12F0" w:rsidRDefault="00BF12F0" w:rsidP="00C9199C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4B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оприлюднення звіту про </w:t>
      </w:r>
      <w:bookmarkStart w:id="0" w:name="_Hlk37170023"/>
      <w:r w:rsidRPr="009B279F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Pr="004769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1D49" w:rsidRPr="0002213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Послуги </w:t>
      </w:r>
      <w:r w:rsidR="00A52A62" w:rsidRPr="0002213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із забезпечення перетікань реактивної електричної енергі</w:t>
      </w:r>
      <w:r w:rsidR="005E1D49" w:rsidRPr="0002213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ї, код ДК 021:2015 65310000-9 (</w:t>
      </w:r>
      <w:r w:rsidR="007912F8" w:rsidRPr="0002213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проспект Соборності, 5-в</w:t>
      </w:r>
      <w:r w:rsidR="005E1D49" w:rsidRPr="0002213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  <w:r w:rsidR="005E1D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>(далі -</w:t>
      </w:r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47698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47698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76989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823B23B" w14:textId="77777777" w:rsidR="00BF12F0" w:rsidRPr="00BF12F0" w:rsidRDefault="00BF12F0" w:rsidP="00BF12F0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A971B9" w14:textId="77777777" w:rsidR="00BF12F0" w:rsidRPr="00F951DF" w:rsidRDefault="00BF12F0" w:rsidP="00BF1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розгляду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14:paraId="63C9D173" w14:textId="6DA7C039" w:rsidR="00C9199C" w:rsidRDefault="00BF12F0" w:rsidP="00BF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51D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51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5 </w:t>
      </w:r>
      <w:r w:rsidRPr="00F951DF">
        <w:rPr>
          <w:rFonts w:ascii="Times New Roman" w:hAnsi="Times New Roman" w:cs="Times New Roman"/>
          <w:sz w:val="24"/>
          <w:szCs w:val="24"/>
        </w:rPr>
        <w:t>пункту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Постанови КМУ №1178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1,5 млн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, коли: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1963A" w14:textId="0B14F583" w:rsidR="00BF12F0" w:rsidRDefault="00BF12F0" w:rsidP="00BF12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F0">
        <w:rPr>
          <w:rFonts w:ascii="Times New Roman" w:hAnsi="Times New Roman" w:cs="Times New Roman"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господарювання, а саме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BF12F0">
        <w:rPr>
          <w:rFonts w:ascii="Times New Roman" w:hAnsi="Times New Roman" w:cs="Times New Roman"/>
          <w:sz w:val="24"/>
          <w:szCs w:val="24"/>
        </w:rPr>
        <w:t>відсутніст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12F0">
        <w:rPr>
          <w:rFonts w:ascii="Times New Roman" w:hAnsi="Times New Roman" w:cs="Times New Roman"/>
          <w:sz w:val="24"/>
          <w:szCs w:val="24"/>
        </w:rPr>
        <w:t xml:space="preserve">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6CDFA" w14:textId="77777777" w:rsidR="009E0017" w:rsidRDefault="00BF12F0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 w:rsidRPr="00BF12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.</w:t>
      </w:r>
    </w:p>
    <w:p w14:paraId="78023C9C" w14:textId="4368B764" w:rsidR="009E0017" w:rsidRPr="007912F8" w:rsidRDefault="00BF12F0" w:rsidP="009E0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п. 13 </w:t>
      </w:r>
      <w:r w:rsidRPr="009E0017"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9E0017"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8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перетікань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реактивної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енергі</w:t>
      </w:r>
      <w:r w:rsidR="007912F8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 xml:space="preserve">, код ДК 021:2015 65310000-9 (проспект </w:t>
      </w:r>
      <w:proofErr w:type="spellStart"/>
      <w:r w:rsidR="007912F8">
        <w:rPr>
          <w:rFonts w:ascii="Times New Roman" w:eastAsia="Times New Roman" w:hAnsi="Times New Roman" w:cs="Times New Roman"/>
          <w:sz w:val="24"/>
          <w:szCs w:val="24"/>
        </w:rPr>
        <w:t>Соборності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>, 5-в)</w:t>
      </w:r>
      <w:r w:rsidR="007912F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82AE4A2" w14:textId="77777777" w:rsidR="00A52A62" w:rsidRPr="009E0017" w:rsidRDefault="00A52A62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0B396" w14:textId="77777777" w:rsidR="009E0017" w:rsidRPr="00F951DF" w:rsidRDefault="009E0017" w:rsidP="009E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5A664048" w14:textId="5B9A0C8B" w:rsidR="009E0017" w:rsidRPr="000C44CB" w:rsidRDefault="009E0017" w:rsidP="009E0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7169685"/>
      <w:proofErr w:type="spellStart"/>
      <w:r w:rsidRPr="00F951DF">
        <w:rPr>
          <w:rFonts w:ascii="Times New Roman" w:hAnsi="Times New Roman"/>
          <w:sz w:val="24"/>
          <w:szCs w:val="24"/>
        </w:rPr>
        <w:t>О</w:t>
      </w:r>
      <w:r w:rsidRPr="00F951DF">
        <w:rPr>
          <w:rFonts w:ascii="Times New Roman" w:eastAsia="Times New Roman" w:hAnsi="Times New Roman"/>
          <w:sz w:val="24"/>
          <w:szCs w:val="24"/>
        </w:rPr>
        <w:t>прилюднити</w:t>
      </w:r>
      <w:proofErr w:type="spellEnd"/>
      <w:r w:rsidRPr="00F951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912F8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перетікань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реактивної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електричної</w:t>
      </w:r>
      <w:proofErr w:type="spellEnd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2F8" w:rsidRPr="00A52A62">
        <w:rPr>
          <w:rFonts w:ascii="Times New Roman" w:eastAsia="Times New Roman" w:hAnsi="Times New Roman" w:cs="Times New Roman"/>
          <w:sz w:val="24"/>
          <w:szCs w:val="24"/>
        </w:rPr>
        <w:t>енергі</w:t>
      </w:r>
      <w:r w:rsidR="007912F8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 xml:space="preserve">, код ДК 021:2015 65310000-9 (проспект </w:t>
      </w:r>
      <w:proofErr w:type="spellStart"/>
      <w:r w:rsidR="007912F8">
        <w:rPr>
          <w:rFonts w:ascii="Times New Roman" w:eastAsia="Times New Roman" w:hAnsi="Times New Roman" w:cs="Times New Roman"/>
          <w:sz w:val="24"/>
          <w:szCs w:val="24"/>
        </w:rPr>
        <w:t>Соборності</w:t>
      </w:r>
      <w:proofErr w:type="spellEnd"/>
      <w:r w:rsidR="007912F8">
        <w:rPr>
          <w:rFonts w:ascii="Times New Roman" w:eastAsia="Times New Roman" w:hAnsi="Times New Roman" w:cs="Times New Roman"/>
          <w:sz w:val="24"/>
          <w:szCs w:val="24"/>
        </w:rPr>
        <w:t xml:space="preserve">, 5-в) </w:t>
      </w:r>
      <w:r w:rsidRPr="00F951D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</w:t>
      </w:r>
      <w:proofErr w:type="spellEnd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системі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у порядку,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встановленому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Уповноваженим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органом</w:t>
      </w:r>
      <w:r w:rsidRPr="00F951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1"/>
      <w:r w:rsidRPr="00F951DF">
        <w:rPr>
          <w:rFonts w:ascii="Times New Roman" w:eastAsia="Times New Roman" w:hAnsi="Times New Roman"/>
          <w:sz w:val="24"/>
          <w:szCs w:val="24"/>
        </w:rPr>
        <w:t>.</w:t>
      </w:r>
    </w:p>
    <w:p w14:paraId="5B2BD734" w14:textId="26EF05D0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ABEC10C" w14:textId="4300C3F3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6A0BE9" w14:textId="77777777" w:rsidR="009E0017" w:rsidRPr="00BF12F0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E0017" w:rsidRPr="006460A5" w14:paraId="3ECEED83" w14:textId="77777777" w:rsidTr="00867F1E">
        <w:trPr>
          <w:trHeight w:val="354"/>
        </w:trPr>
        <w:tc>
          <w:tcPr>
            <w:tcW w:w="3664" w:type="dxa"/>
          </w:tcPr>
          <w:p w14:paraId="6672EEB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623CA87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</w:t>
            </w:r>
            <w:proofErr w:type="spellEnd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особа</w:t>
            </w:r>
          </w:p>
          <w:p w14:paraId="4C17A9BB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2D7563B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3F378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4A701ADC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14:paraId="49C342B6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E32352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</w:t>
            </w:r>
            <w:proofErr w:type="spellEnd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ТЕЛЕЛЕКОВ</w:t>
            </w:r>
          </w:p>
        </w:tc>
      </w:tr>
    </w:tbl>
    <w:p w14:paraId="3591779B" w14:textId="77777777" w:rsidR="00C9199C" w:rsidRDefault="00C9199C"/>
    <w:sectPr w:rsidR="00C91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2DF5086"/>
    <w:multiLevelType w:val="hybridMultilevel"/>
    <w:tmpl w:val="F41A2C44"/>
    <w:lvl w:ilvl="0" w:tplc="E4007F6C">
      <w:start w:val="5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40009924">
    <w:abstractNumId w:val="0"/>
  </w:num>
  <w:num w:numId="2" w16cid:durableId="9266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C"/>
    <w:rsid w:val="00022138"/>
    <w:rsid w:val="001E36B4"/>
    <w:rsid w:val="005E1D49"/>
    <w:rsid w:val="007912F8"/>
    <w:rsid w:val="009E0017"/>
    <w:rsid w:val="00A52A62"/>
    <w:rsid w:val="00AE0E2C"/>
    <w:rsid w:val="00BF12F0"/>
    <w:rsid w:val="00C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FE71"/>
  <w15:chartTrackingRefBased/>
  <w15:docId w15:val="{4A368898-E56D-9F4C-8B12-368855C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9C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F12F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Telelekov</dc:creator>
  <cp:keywords/>
  <dc:description/>
  <cp:lastModifiedBy>Dmitriy Telelekov</cp:lastModifiedBy>
  <cp:revision>2</cp:revision>
  <dcterms:created xsi:type="dcterms:W3CDTF">2024-01-16T07:39:00Z</dcterms:created>
  <dcterms:modified xsi:type="dcterms:W3CDTF">2024-01-16T07:39:00Z</dcterms:modified>
</cp:coreProperties>
</file>