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4" w:rsidRDefault="00121134">
      <w:pPr>
        <w:spacing w:after="0" w:line="240" w:lineRule="auto"/>
        <w:ind w:left="5660"/>
        <w:jc w:val="right"/>
        <w:rPr>
          <w:rFonts w:ascii="Times New Roman" w:eastAsia="Times New Roman" w:hAnsi="Times New Roman" w:cs="Times New Roman"/>
          <w:b/>
          <w:color w:val="000000"/>
          <w:sz w:val="24"/>
          <w:szCs w:val="24"/>
        </w:rPr>
      </w:pP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1134" w:rsidRDefault="00121134">
      <w:pPr>
        <w:spacing w:before="240" w:after="0" w:line="240" w:lineRule="auto"/>
        <w:jc w:val="center"/>
        <w:rPr>
          <w:rFonts w:ascii="Times New Roman" w:eastAsia="Times New Roman" w:hAnsi="Times New Roman" w:cs="Times New Roman"/>
          <w:b/>
          <w:i/>
          <w:color w:val="000000"/>
          <w:sz w:val="4"/>
          <w:szCs w:val="4"/>
        </w:rPr>
      </w:pPr>
    </w:p>
    <w:p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121134" w:rsidRPr="004E4EA5" w:rsidRDefault="00121134">
      <w:pPr>
        <w:spacing w:after="0" w:line="240" w:lineRule="auto"/>
        <w:jc w:val="center"/>
        <w:rPr>
          <w:rFonts w:ascii="Times New Roman" w:eastAsia="Times New Roman" w:hAnsi="Times New Roman" w:cs="Times New Roman"/>
          <w:b/>
          <w:i/>
          <w:sz w:val="24"/>
          <w:szCs w:val="24"/>
        </w:rPr>
      </w:pPr>
    </w:p>
    <w:p w:rsidR="00262CD4" w:rsidRPr="00236945"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62CD4" w:rsidRPr="0023694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009D7903">
        <w:rPr>
          <w:rFonts w:ascii="Times New Roman" w:eastAsia="Times New Roman" w:hAnsi="Times New Roman" w:cs="Times New Roman"/>
          <w:b/>
          <w:bCs/>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236945"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236945"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23694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236945"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6778"/>
      </w:tblGrid>
      <w:tr w:rsidR="00262CD4" w:rsidRPr="004E4EA5" w:rsidTr="006C1E61">
        <w:trPr>
          <w:trHeight w:val="1066"/>
        </w:trPr>
        <w:tc>
          <w:tcPr>
            <w:tcW w:w="2861"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en-US"/>
              </w:rPr>
            </w:pPr>
          </w:p>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778"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rsidTr="006C1E61">
        <w:trPr>
          <w:trHeight w:val="552"/>
        </w:trPr>
        <w:tc>
          <w:tcPr>
            <w:tcW w:w="2861"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778"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rsidTr="006C1E61">
        <w:trPr>
          <w:trHeight w:val="632"/>
        </w:trPr>
        <w:tc>
          <w:tcPr>
            <w:tcW w:w="2861"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778" w:type="dxa"/>
            <w:tcBorders>
              <w:top w:val="single" w:sz="6" w:space="0" w:color="auto"/>
              <w:left w:val="single" w:sz="6" w:space="0" w:color="auto"/>
              <w:bottom w:val="single" w:sz="6" w:space="0" w:color="auto"/>
              <w:right w:val="single" w:sz="6" w:space="0" w:color="auto"/>
            </w:tcBorders>
          </w:tcPr>
          <w:p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236945">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006C1E61">
        <w:rPr>
          <w:rFonts w:ascii="Times New Roman" w:eastAsia="Times New Roman" w:hAnsi="Times New Roman" w:cs="Times New Roman"/>
          <w:b/>
          <w:sz w:val="24"/>
          <w:szCs w:val="24"/>
          <w:lang w:eastAsia="ru-RU"/>
        </w:rPr>
        <w:t>39</w:t>
      </w:r>
      <w:r w:rsidR="006C1E61">
        <w:rPr>
          <w:rFonts w:ascii="Times New Roman" w:eastAsia="Times New Roman" w:hAnsi="Times New Roman" w:cs="Times New Roman"/>
          <w:b/>
          <w:sz w:val="24"/>
          <w:szCs w:val="24"/>
          <w:lang w:val="ru-RU" w:eastAsia="ru-RU"/>
        </w:rPr>
        <w:t> 5</w:t>
      </w:r>
      <w:r w:rsidR="00D50EEF" w:rsidRPr="00834788">
        <w:rPr>
          <w:rFonts w:ascii="Times New Roman" w:eastAsia="Times New Roman" w:hAnsi="Times New Roman" w:cs="Times New Roman"/>
          <w:b/>
          <w:sz w:val="24"/>
          <w:szCs w:val="24"/>
          <w:lang w:val="ru-RU" w:eastAsia="ru-RU"/>
        </w:rPr>
        <w:t>00</w:t>
      </w:r>
      <w:r w:rsidR="006C1E61">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r w:rsidR="006C1E61">
        <w:rPr>
          <w:rFonts w:ascii="Times New Roman" w:hAnsi="Times New Roman" w:cs="Times New Roman"/>
          <w:b/>
          <w:sz w:val="24"/>
          <w:szCs w:val="24"/>
          <w:lang w:eastAsia="ru-RU"/>
        </w:rPr>
        <w:t>.</w:t>
      </w: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236945">
        <w:rPr>
          <w:rFonts w:ascii="Times New Roman" w:eastAsia="Times New Roman" w:hAnsi="Times New Roman" w:cs="Times New Roman"/>
          <w:b/>
          <w:sz w:val="24"/>
          <w:szCs w:val="24"/>
          <w:lang w:eastAsia="ru-RU"/>
        </w:rPr>
        <w:t>4</w:t>
      </w:r>
      <w:r w:rsidRPr="007F4A3B">
        <w:rPr>
          <w:rFonts w:ascii="Times New Roman" w:eastAsia="Times New Roman" w:hAnsi="Times New Roman" w:cs="Times New Roman"/>
          <w:b/>
          <w:sz w:val="24"/>
          <w:szCs w:val="24"/>
          <w:lang w:eastAsia="ru-RU"/>
        </w:rPr>
        <w:t xml:space="preserve"> року.</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 xml:space="preserve">Найменування  оператора системи розподілу -  </w:t>
      </w:r>
      <w:r w:rsidR="00AD1FBB" w:rsidRPr="00554B1A">
        <w:rPr>
          <w:rFonts w:ascii="Times New Roman" w:eastAsia="Times New Roman" w:hAnsi="Times New Roman" w:cs="Times New Roman"/>
          <w:b/>
          <w:sz w:val="24"/>
          <w:szCs w:val="24"/>
          <w:lang w:eastAsia="ru-RU"/>
        </w:rPr>
        <w:t>ПАТ «Львівобленерго»</w:t>
      </w:r>
      <w:r w:rsidR="006C1E61">
        <w:rPr>
          <w:rFonts w:ascii="Times New Roman" w:eastAsia="Times New Roman" w:hAnsi="Times New Roman" w:cs="Times New Roman"/>
          <w:b/>
          <w:sz w:val="24"/>
          <w:szCs w:val="24"/>
          <w:lang w:eastAsia="ru-RU"/>
        </w:rPr>
        <w:t>.</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72" w:tblpY="85"/>
        <w:tblW w:w="4964" w:type="pct"/>
        <w:tblLayout w:type="fixed"/>
        <w:tblLook w:val="0000"/>
      </w:tblPr>
      <w:tblGrid>
        <w:gridCol w:w="611"/>
        <w:gridCol w:w="5146"/>
        <w:gridCol w:w="6"/>
        <w:gridCol w:w="2614"/>
        <w:gridCol w:w="1407"/>
      </w:tblGrid>
      <w:tr w:rsidR="00262CD4" w:rsidRPr="004E4EA5" w:rsidTr="006C1E61">
        <w:trPr>
          <w:trHeight w:val="1110"/>
        </w:trPr>
        <w:tc>
          <w:tcPr>
            <w:tcW w:w="312" w:type="pct"/>
            <w:vMerge w:val="restart"/>
            <w:tcBorders>
              <w:top w:val="single" w:sz="4" w:space="0" w:color="auto"/>
              <w:left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632" w:type="pct"/>
            <w:gridSpan w:val="2"/>
            <w:vMerge w:val="restart"/>
            <w:tcBorders>
              <w:top w:val="single" w:sz="4" w:space="0" w:color="auto"/>
              <w:left w:val="nil"/>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6C1E61">
            <w:pPr>
              <w:spacing w:after="0" w:line="240" w:lineRule="auto"/>
              <w:rPr>
                <w:rFonts w:ascii="Times New Roman" w:eastAsia="Times New Roman" w:hAnsi="Times New Roman" w:cs="Times New Roman"/>
                <w:sz w:val="24"/>
                <w:szCs w:val="24"/>
                <w:lang w:eastAsia="ru-RU"/>
              </w:rPr>
            </w:pPr>
          </w:p>
        </w:tc>
        <w:tc>
          <w:tcPr>
            <w:tcW w:w="2055" w:type="pct"/>
            <w:gridSpan w:val="2"/>
            <w:tcBorders>
              <w:top w:val="single" w:sz="4" w:space="0" w:color="auto"/>
              <w:left w:val="single" w:sz="4" w:space="0" w:color="auto"/>
              <w:bottom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rsidTr="006C1E61">
        <w:trPr>
          <w:trHeight w:val="1155"/>
        </w:trPr>
        <w:tc>
          <w:tcPr>
            <w:tcW w:w="312" w:type="pct"/>
            <w:vMerge/>
            <w:tcBorders>
              <w:left w:val="single" w:sz="4" w:space="0" w:color="auto"/>
              <w:bottom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tc>
        <w:tc>
          <w:tcPr>
            <w:tcW w:w="2632" w:type="pct"/>
            <w:gridSpan w:val="2"/>
            <w:vMerge/>
            <w:tcBorders>
              <w:left w:val="nil"/>
              <w:bottom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19" w:type="pct"/>
            <w:tcBorders>
              <w:top w:val="single" w:sz="4" w:space="0" w:color="auto"/>
              <w:left w:val="nil"/>
              <w:bottom w:val="single" w:sz="4" w:space="0" w:color="auto"/>
              <w:right w:val="single" w:sz="4" w:space="0" w:color="auto"/>
            </w:tcBorders>
            <w:shd w:val="clear" w:color="auto" w:fill="auto"/>
          </w:tcPr>
          <w:p w:rsidR="00262CD4" w:rsidRPr="004E4EA5" w:rsidRDefault="00262CD4" w:rsidP="006C1E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AD1FBB" w:rsidRPr="004E4EA5" w:rsidTr="006C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312" w:type="pct"/>
          </w:tcPr>
          <w:p w:rsidR="00AD1FBB" w:rsidRPr="004E4EA5" w:rsidRDefault="00236945" w:rsidP="006C1E61">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tc>
        <w:tc>
          <w:tcPr>
            <w:tcW w:w="2629" w:type="pct"/>
          </w:tcPr>
          <w:p w:rsidR="00AD1FBB" w:rsidRPr="00236945" w:rsidRDefault="006C1E61" w:rsidP="00416104">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81740, Львівська область, Стрийський район, смт. Г</w:t>
            </w:r>
            <w:r w:rsidR="00416104">
              <w:rPr>
                <w:rFonts w:ascii="Times New Roman" w:eastAsia="Times New Roman" w:hAnsi="Times New Roman" w:cs="Times New Roman"/>
                <w:bCs/>
                <w:sz w:val="24"/>
                <w:szCs w:val="24"/>
                <w:shd w:val="clear" w:color="auto" w:fill="FFFFFF"/>
                <w:lang w:eastAsia="ru-RU"/>
              </w:rPr>
              <w:t>ні</w:t>
            </w:r>
            <w:r>
              <w:rPr>
                <w:rFonts w:ascii="Times New Roman" w:eastAsia="Times New Roman" w:hAnsi="Times New Roman" w:cs="Times New Roman"/>
                <w:bCs/>
                <w:sz w:val="24"/>
                <w:szCs w:val="24"/>
                <w:shd w:val="clear" w:color="auto" w:fill="FFFFFF"/>
                <w:lang w:eastAsia="ru-RU"/>
              </w:rPr>
              <w:t>здичів, вул. Грушевського, 65</w:t>
            </w:r>
          </w:p>
        </w:tc>
        <w:tc>
          <w:tcPr>
            <w:tcW w:w="1339" w:type="pct"/>
            <w:gridSpan w:val="2"/>
          </w:tcPr>
          <w:p w:rsidR="00AD1FBB" w:rsidRPr="004E4EA5" w:rsidRDefault="00236945" w:rsidP="006C1E61">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19" w:type="pct"/>
          </w:tcPr>
          <w:p w:rsidR="00AD1FBB" w:rsidRPr="004E4EA5" w:rsidRDefault="004C7016" w:rsidP="006C1E61">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rsidR="00262CD4" w:rsidRDefault="00262CD4" w:rsidP="00262CD4">
      <w:pPr>
        <w:jc w:val="center"/>
        <w:rPr>
          <w:rFonts w:ascii="Times New Roman" w:hAnsi="Times New Roman" w:cs="Times New Roman"/>
          <w:b/>
          <w:sz w:val="24"/>
          <w:szCs w:val="24"/>
          <w:lang w:eastAsia="en-US"/>
        </w:rPr>
      </w:pPr>
    </w:p>
    <w:p w:rsidR="00262CD4" w:rsidRPr="006C1E61" w:rsidRDefault="00262CD4" w:rsidP="006C1E61">
      <w:pPr>
        <w:spacing w:after="0" w:line="240" w:lineRule="auto"/>
        <w:jc w:val="both"/>
        <w:rPr>
          <w:rFonts w:ascii="Times New Roman" w:hAnsi="Times New Roman" w:cs="Times New Roman"/>
          <w:sz w:val="24"/>
          <w:szCs w:val="24"/>
          <w:lang w:eastAsia="en-US"/>
        </w:rPr>
      </w:pPr>
      <w:r w:rsidRPr="006C1E61">
        <w:rPr>
          <w:rFonts w:ascii="Times New Roman" w:hAnsi="Times New Roman" w:cs="Times New Roman"/>
          <w:sz w:val="24"/>
          <w:szCs w:val="24"/>
          <w:lang w:eastAsia="en-US"/>
        </w:rPr>
        <w:t>Параметри</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якості</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електричної</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енергії в точках приєднання</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Споживача у нормальних</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умовах</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експлуатації</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мають</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відповідати параметрам, визначеним у ДСТУ EN50160:2014.Характеристики напруги</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електропостачання в електричних мережах загального</w:t>
      </w:r>
      <w:r w:rsidR="006C1E61" w:rsidRPr="006C1E61">
        <w:rPr>
          <w:rFonts w:ascii="Times New Roman" w:hAnsi="Times New Roman" w:cs="Times New Roman"/>
          <w:sz w:val="24"/>
          <w:szCs w:val="24"/>
          <w:lang w:eastAsia="en-US"/>
        </w:rPr>
        <w:t xml:space="preserve"> </w:t>
      </w:r>
      <w:r w:rsidRPr="006C1E61">
        <w:rPr>
          <w:rFonts w:ascii="Times New Roman" w:hAnsi="Times New Roman" w:cs="Times New Roman"/>
          <w:sz w:val="24"/>
          <w:szCs w:val="24"/>
          <w:lang w:eastAsia="en-US"/>
        </w:rPr>
        <w:t>призначення (EN 50160:2010, IDT).</w:t>
      </w:r>
    </w:p>
    <w:p w:rsidR="00262CD4" w:rsidRPr="004E4EA5" w:rsidRDefault="00262CD4" w:rsidP="006C1E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262CD4" w:rsidRPr="006C1E61"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r w:rsidRPr="006C1E61">
        <w:rPr>
          <w:rFonts w:ascii="Times New Roman" w:hAnsi="Times New Roman" w:cs="Times New Roman"/>
          <w:sz w:val="24"/>
          <w:szCs w:val="24"/>
          <w:lang w:eastAsia="en-US"/>
        </w:rPr>
        <w:t>Національної комісії регулювання електроенергетики та комунальних послуг України від 14.03.2018 № 312.</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w:t>
      </w:r>
      <w:r w:rsidR="006C1E61">
        <w:rPr>
          <w:rFonts w:ascii="Times New Roman" w:hAnsi="Times New Roman" w:cs="Times New Roman"/>
          <w:sz w:val="24"/>
          <w:szCs w:val="24"/>
          <w:lang w:eastAsia="en-US"/>
        </w:rPr>
        <w:t xml:space="preserve">9 "Про затвердження Ліцензійних </w:t>
      </w:r>
      <w:r w:rsidRPr="004E4EA5">
        <w:rPr>
          <w:rFonts w:ascii="Times New Roman" w:hAnsi="Times New Roman" w:cs="Times New Roman"/>
          <w:sz w:val="24"/>
          <w:szCs w:val="24"/>
          <w:lang w:eastAsia="en-US"/>
        </w:rPr>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w:t>
      </w:r>
      <w:r w:rsidR="006C1E61">
        <w:rPr>
          <w:rFonts w:ascii="Times New Roman" w:hAnsi="Times New Roman" w:cs="Times New Roman"/>
          <w:sz w:val="24"/>
          <w:szCs w:val="24"/>
          <w:lang w:eastAsia="en-US"/>
        </w:rPr>
        <w:t>ьності</w:t>
      </w:r>
      <w:r w:rsidR="006C1E61">
        <w:rPr>
          <w:rFonts w:ascii="Times New Roman" w:hAnsi="Times New Roman" w:cs="Times New Roman"/>
          <w:sz w:val="24"/>
          <w:szCs w:val="24"/>
          <w:lang w:eastAsia="en-US"/>
        </w:rPr>
        <w:tab/>
        <w:t>з</w:t>
      </w:r>
      <w:r w:rsidR="006C1E61">
        <w:rPr>
          <w:rFonts w:ascii="Times New Roman" w:hAnsi="Times New Roman" w:cs="Times New Roman"/>
          <w:sz w:val="24"/>
          <w:szCs w:val="24"/>
          <w:lang w:eastAsia="en-US"/>
        </w:rPr>
        <w:tab/>
        <w:t>постачання</w:t>
      </w:r>
      <w:r w:rsidR="006C1E61">
        <w:rPr>
          <w:rFonts w:ascii="Times New Roman" w:hAnsi="Times New Roman" w:cs="Times New Roman"/>
          <w:sz w:val="24"/>
          <w:szCs w:val="24"/>
          <w:lang w:eastAsia="en-US"/>
        </w:rPr>
        <w:tab/>
        <w:t xml:space="preserve">електричної </w:t>
      </w:r>
      <w:r w:rsidRPr="004E4EA5">
        <w:rPr>
          <w:rFonts w:ascii="Times New Roman" w:hAnsi="Times New Roman" w:cs="Times New Roman"/>
          <w:sz w:val="24"/>
          <w:szCs w:val="24"/>
          <w:lang w:eastAsia="en-US"/>
        </w:rPr>
        <w:t>енергії споживачу";</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ринок електричної енергії».</w:t>
      </w:r>
    </w:p>
    <w:p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262CD4" w:rsidRDefault="00262CD4" w:rsidP="00262CD4">
      <w:pPr>
        <w:tabs>
          <w:tab w:val="left" w:pos="1276"/>
        </w:tabs>
        <w:contextualSpacing/>
        <w:jc w:val="both"/>
        <w:rPr>
          <w:rFonts w:ascii="Times New Roman" w:hAnsi="Times New Roman" w:cs="Times New Roman"/>
          <w:sz w:val="24"/>
          <w:szCs w:val="24"/>
          <w:u w:val="single"/>
          <w:lang w:eastAsia="ru-RU"/>
        </w:rPr>
      </w:pPr>
    </w:p>
    <w:p w:rsidR="00D24AFE" w:rsidRPr="004E4EA5" w:rsidRDefault="00D24AFE" w:rsidP="006C1E61">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24AFE" w:rsidRPr="004E4EA5" w:rsidRDefault="00D24AFE" w:rsidP="006C1E61">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НКРЕКПвід14.03.2018 </w:t>
      </w:r>
      <w:r w:rsidR="006C1E61">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F05C50" w:rsidRPr="006C1E61" w:rsidRDefault="006C1E61" w:rsidP="006C1E61">
      <w:pPr>
        <w:widowControl w:val="0"/>
        <w:spacing w:after="0" w:line="240" w:lineRule="auto"/>
        <w:ind w:right="113"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24AFE" w:rsidRPr="006C1E61">
        <w:rPr>
          <w:rFonts w:ascii="Times New Roman" w:eastAsia="Times New Roman" w:hAnsi="Times New Roman" w:cs="Times New Roman"/>
          <w:sz w:val="24"/>
          <w:szCs w:val="24"/>
        </w:rPr>
        <w:t xml:space="preserve">Учасник </w:t>
      </w:r>
      <w:r w:rsidR="00D24AFE" w:rsidRPr="006C1E61">
        <w:rPr>
          <w:rFonts w:ascii="Times New Roman" w:eastAsia="Times New Roman" w:hAnsi="Times New Roman" w:cs="Times New Roman"/>
          <w:b/>
          <w:sz w:val="24"/>
          <w:szCs w:val="24"/>
        </w:rPr>
        <w:t>у складі пропозиції надає с</w:t>
      </w:r>
      <w:r w:rsidR="00D24AFE" w:rsidRPr="006C1E61">
        <w:rPr>
          <w:rFonts w:ascii="Times New Roman" w:eastAsia="Times New Roman" w:hAnsi="Times New Roman" w:cs="Times New Roman"/>
          <w:b/>
          <w:color w:val="000000"/>
          <w:sz w:val="24"/>
          <w:szCs w:val="24"/>
        </w:rPr>
        <w:t>ертифікат</w:t>
      </w:r>
      <w:r w:rsidR="00D24AFE" w:rsidRPr="006C1E61">
        <w:rPr>
          <w:rFonts w:ascii="Times New Roman" w:eastAsia="Times New Roman" w:hAnsi="Times New Roman" w:cs="Times New Roman"/>
          <w:color w:val="000000"/>
          <w:sz w:val="24"/>
          <w:szCs w:val="24"/>
        </w:rPr>
        <w:t xml:space="preserve">, </w:t>
      </w:r>
      <w:r w:rsidR="00D24AFE" w:rsidRPr="006C1E61">
        <w:rPr>
          <w:rFonts w:ascii="Times New Roman" w:eastAsia="Times New Roman" w:hAnsi="Times New Roman" w:cs="Times New Roman"/>
          <w:sz w:val="24"/>
          <w:szCs w:val="24"/>
        </w:rPr>
        <w:t xml:space="preserve">виданий на ім’я учасника, діючий на дату подання пропозиції, </w:t>
      </w:r>
      <w:r w:rsidR="00D24AFE" w:rsidRPr="006C1E61">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00D24AFE" w:rsidRPr="006C1E61">
        <w:rPr>
          <w:rFonts w:ascii="Times New Roman" w:eastAsia="Times New Roman" w:hAnsi="Times New Roman" w:cs="Times New Roman"/>
          <w:color w:val="000000"/>
          <w:sz w:val="24"/>
          <w:szCs w:val="24"/>
          <w:lang w:val="en-US"/>
        </w:rPr>
        <w:t>ISO</w:t>
      </w:r>
      <w:r w:rsidR="00D24AFE" w:rsidRPr="006C1E61">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00D24AFE" w:rsidRPr="006C1E61">
        <w:rPr>
          <w:rFonts w:ascii="Times New Roman" w:eastAsia="Times New Roman" w:hAnsi="Times New Roman" w:cs="Times New Roman"/>
          <w:color w:val="000000"/>
          <w:sz w:val="24"/>
          <w:szCs w:val="24"/>
          <w:lang w:val="ru-RU"/>
        </w:rPr>
        <w:t xml:space="preserve"> (</w:t>
      </w:r>
      <w:r w:rsidR="00D24AFE" w:rsidRPr="006C1E61">
        <w:rPr>
          <w:rFonts w:ascii="Times New Roman" w:eastAsia="Times New Roman" w:hAnsi="Times New Roman" w:cs="Times New Roman"/>
          <w:color w:val="000000"/>
          <w:sz w:val="24"/>
          <w:szCs w:val="24"/>
        </w:rPr>
        <w:t xml:space="preserve">або </w:t>
      </w:r>
      <w:r w:rsidR="00D24AFE" w:rsidRPr="006C1E61">
        <w:rPr>
          <w:rFonts w:ascii="Times New Roman" w:eastAsia="Times New Roman" w:hAnsi="Times New Roman" w:cs="Times New Roman"/>
          <w:color w:val="000000"/>
          <w:sz w:val="24"/>
          <w:szCs w:val="24"/>
        </w:rPr>
        <w:lastRenderedPageBreak/>
        <w:t>еквівалент).</w:t>
      </w:r>
      <w:r w:rsidR="00D24AFE" w:rsidRPr="006C1E61">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D24AFE" w:rsidRPr="006C1E61" w:rsidRDefault="006C1E61" w:rsidP="006C1E61">
      <w:pPr>
        <w:widowControl w:val="0"/>
        <w:spacing w:after="0" w:line="240" w:lineRule="auto"/>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 </w:t>
      </w:r>
      <w:r w:rsidR="00D24AFE" w:rsidRPr="006C1E61">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w:t>
      </w:r>
      <w:r w:rsidR="00D24AFE" w:rsidRPr="006C1E61">
        <w:rPr>
          <w:rFonts w:ascii="Times New Roman" w:eastAsia="Times New Roman" w:hAnsi="Times New Roman" w:cs="Times New Roman"/>
          <w:b/>
          <w:color w:val="000000"/>
          <w:sz w:val="24"/>
          <w:szCs w:val="24"/>
          <w:lang w:eastAsia="ru-RU"/>
        </w:rPr>
        <w:t>складі пропозиції надає довідку в довільній формі з інформацією про  наявність власного офіційного веб-сайту в мережі Інтернет</w:t>
      </w:r>
      <w:r w:rsidR="00D24AFE" w:rsidRPr="006C1E61">
        <w:rPr>
          <w:rFonts w:ascii="Times New Roman" w:eastAsia="Times New Roman" w:hAnsi="Times New Roman" w:cs="Times New Roman"/>
          <w:color w:val="000000"/>
          <w:sz w:val="24"/>
          <w:szCs w:val="24"/>
          <w:lang w:eastAsia="ru-RU"/>
        </w:rPr>
        <w:t>, з виокремленням та опис</w:t>
      </w:r>
      <w:r w:rsidR="003168E6" w:rsidRPr="006C1E61">
        <w:rPr>
          <w:rFonts w:ascii="Times New Roman" w:eastAsia="Times New Roman" w:hAnsi="Times New Roman" w:cs="Times New Roman"/>
          <w:color w:val="000000"/>
          <w:sz w:val="24"/>
          <w:szCs w:val="24"/>
          <w:lang w:eastAsia="ru-RU"/>
        </w:rPr>
        <w:t>ом відповідності  кожній вимозі.</w:t>
      </w:r>
    </w:p>
    <w:p w:rsidR="00F05C50" w:rsidRDefault="00D24AFE" w:rsidP="006C1E61">
      <w:pPr>
        <w:spacing w:after="0" w:line="240" w:lineRule="auto"/>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D24AFE" w:rsidRPr="006C1E61" w:rsidRDefault="006C1E61" w:rsidP="006C1E61">
      <w:pPr>
        <w:spacing w:after="0" w:line="240" w:lineRule="auto"/>
        <w:ind w:firstLine="720"/>
        <w:jc w:val="both"/>
        <w:rPr>
          <w:rFonts w:cs="Times New Roman"/>
          <w:color w:val="333333"/>
          <w:lang w:eastAsia="en-US"/>
        </w:rPr>
      </w:pPr>
      <w:r>
        <w:rPr>
          <w:rFonts w:ascii="Times New Roman" w:eastAsia="Times New Roman" w:hAnsi="Times New Roman" w:cs="Times New Roman"/>
          <w:sz w:val="24"/>
          <w:szCs w:val="24"/>
        </w:rPr>
        <w:t xml:space="preserve">3. </w:t>
      </w:r>
      <w:r w:rsidR="00D24AFE" w:rsidRPr="006C1E61">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00D24AFE" w:rsidRPr="006C1E61">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00D24AFE" w:rsidRPr="006C1E61">
        <w:rPr>
          <w:rFonts w:ascii="Times New Roman" w:eastAsia="Times New Roman" w:hAnsi="Times New Roman" w:cs="Times New Roman"/>
          <w:sz w:val="24"/>
          <w:szCs w:val="24"/>
        </w:rPr>
        <w:t xml:space="preserve"> https://ua.energy/. </w:t>
      </w:r>
    </w:p>
    <w:p w:rsidR="00D24AFE" w:rsidRPr="004E4EA5" w:rsidRDefault="00D24AFE" w:rsidP="006C1E61">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24AFE" w:rsidRPr="004E4EA5" w:rsidRDefault="003168E6" w:rsidP="006C1E6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 xml:space="preserve">.1.  </w:t>
      </w:r>
      <w:r w:rsidR="00D24AFE" w:rsidRPr="006C1E61">
        <w:rPr>
          <w:rFonts w:ascii="Times New Roman" w:eastAsia="Times New Roman" w:hAnsi="Times New Roman" w:cs="Times New Roman"/>
          <w:b/>
          <w:color w:val="000000"/>
          <w:sz w:val="24"/>
          <w:szCs w:val="24"/>
          <w:lang w:eastAsia="ru-RU"/>
        </w:rPr>
        <w:t>Гарантійний лист наступного змісту</w:t>
      </w:r>
      <w:r w:rsidR="00D24AFE" w:rsidRPr="004E4EA5">
        <w:rPr>
          <w:rFonts w:ascii="Times New Roman" w:eastAsia="Times New Roman" w:hAnsi="Times New Roman" w:cs="Times New Roman"/>
          <w:color w:val="000000"/>
          <w:sz w:val="24"/>
          <w:szCs w:val="24"/>
          <w:lang w:eastAsia="ru-RU"/>
        </w:rPr>
        <w:t>:</w:t>
      </w:r>
    </w:p>
    <w:p w:rsidR="00D24AFE" w:rsidRPr="004E4EA5" w:rsidRDefault="00D24AFE" w:rsidP="006C1E61">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3168E6" w:rsidRDefault="00D24AFE" w:rsidP="006C1E61">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3168E6" w:rsidRPr="006C1E61" w:rsidRDefault="006C1E61" w:rsidP="006C1E6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3.2 </w:t>
      </w:r>
      <w:r w:rsidR="00D24AFE" w:rsidRPr="006C1E61">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w:t>
      </w:r>
      <w:r w:rsidR="00D24AFE" w:rsidRPr="006C1E61">
        <w:rPr>
          <w:rFonts w:ascii="Times New Roman" w:eastAsia="Times New Roman" w:hAnsi="Times New Roman" w:cs="Times New Roman"/>
          <w:b/>
          <w:bCs/>
          <w:color w:val="000000" w:themeColor="text1"/>
          <w:sz w:val="24"/>
          <w:szCs w:val="24"/>
        </w:rPr>
        <w:t>складі пропозиції надає сертифікат</w:t>
      </w:r>
      <w:r w:rsidR="00D24AFE" w:rsidRPr="006C1E61">
        <w:rPr>
          <w:rFonts w:ascii="Times New Roman" w:eastAsia="Times New Roman" w:hAnsi="Times New Roman" w:cs="Times New Roman"/>
          <w:bCs/>
          <w:color w:val="000000" w:themeColor="text1"/>
          <w:sz w:val="24"/>
          <w:szCs w:val="24"/>
        </w:rPr>
        <w:t xml:space="preserve">, виданий на ім’я учасника, діючий на дату подання пропозиції, який підтверджує, що система управління учасника відповідає  </w:t>
      </w:r>
      <w:bookmarkStart w:id="2" w:name="_Hlk112936111"/>
      <w:r w:rsidR="00D24AFE" w:rsidRPr="006C1E61">
        <w:rPr>
          <w:rFonts w:ascii="Times New Roman" w:hAnsi="Times New Roman" w:cs="Times New Roman"/>
          <w:bCs/>
          <w:color w:val="000000" w:themeColor="text1"/>
          <w:sz w:val="24"/>
          <w:szCs w:val="24"/>
          <w:shd w:val="clear" w:color="auto" w:fill="FFFFFF"/>
          <w:lang w:val="en-US" w:eastAsia="en-US"/>
        </w:rPr>
        <w:t>ISO</w:t>
      </w:r>
      <w:r w:rsidR="00D24AFE" w:rsidRPr="006C1E61">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bookmarkEnd w:id="2"/>
      <w:r w:rsidR="00D24AFE" w:rsidRPr="006C1E61">
        <w:rPr>
          <w:rFonts w:ascii="Times New Roman" w:hAnsi="Times New Roman" w:cs="Times New Roman"/>
          <w:bCs/>
          <w:color w:val="000000" w:themeColor="text1"/>
          <w:sz w:val="24"/>
          <w:szCs w:val="24"/>
          <w:shd w:val="clear" w:color="auto" w:fill="FFFFFF"/>
          <w:lang w:eastAsia="en-US"/>
        </w:rPr>
        <w:t>(</w:t>
      </w:r>
      <w:r w:rsidR="00D24AFE" w:rsidRPr="006C1E61">
        <w:rPr>
          <w:rFonts w:ascii="Times New Roman" w:eastAsia="Times New Roman" w:hAnsi="Times New Roman" w:cs="Times New Roman"/>
          <w:bCs/>
          <w:color w:val="000000" w:themeColor="text1"/>
          <w:sz w:val="24"/>
          <w:szCs w:val="24"/>
        </w:rPr>
        <w:t xml:space="preserve">або еквівалент). </w:t>
      </w:r>
      <w:r w:rsidR="00D24AFE" w:rsidRPr="006C1E61">
        <w:rPr>
          <w:rFonts w:ascii="Times New Roman" w:eastAsia="Times New Roman" w:hAnsi="Times New Roman"/>
          <w:bCs/>
          <w:color w:val="000000" w:themeColor="text1"/>
          <w:sz w:val="24"/>
          <w:szCs w:val="24"/>
        </w:rPr>
        <w:t>Сфера діяльності на яку поширюється</w:t>
      </w:r>
      <w:r w:rsidR="00D24AFE" w:rsidRPr="006C1E61">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D24AFE" w:rsidRPr="006C1E61" w:rsidRDefault="006C1E61" w:rsidP="006C1E6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sidR="00D24AFE" w:rsidRPr="006C1E61">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 w:name="_Hlk120522091"/>
      <w:r w:rsidR="00D24AFE" w:rsidRPr="006C1E61">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D24AFE" w:rsidRPr="006C1E61">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
      <w:r w:rsidR="00D24AFE" w:rsidRPr="006C1E61">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 xml:space="preserve">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w:t>
      </w:r>
      <w:r w:rsidRPr="0030090E">
        <w:rPr>
          <w:rFonts w:ascii="Times New Roman" w:eastAsia="Times New Roman" w:hAnsi="Times New Roman" w:cs="Times New Roman"/>
          <w:b/>
          <w:color w:val="000000" w:themeColor="text1"/>
          <w:sz w:val="24"/>
          <w:szCs w:val="24"/>
        </w:rPr>
        <w:t>повинен надати гарантійний лист про те,</w:t>
      </w:r>
      <w:r w:rsidRPr="002E02DE">
        <w:rPr>
          <w:rFonts w:ascii="Times New Roman" w:eastAsia="Times New Roman" w:hAnsi="Times New Roman" w:cs="Times New Roman"/>
          <w:color w:val="000000" w:themeColor="text1"/>
          <w:sz w:val="24"/>
          <w:szCs w:val="24"/>
        </w:rPr>
        <w:t xml:space="preserve">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xml:space="preserve"> року по день подання </w:t>
      </w:r>
      <w:r w:rsidRPr="002E02DE">
        <w:rPr>
          <w:rFonts w:ascii="Times New Roman" w:eastAsia="Times New Roman" w:hAnsi="Times New Roman" w:cs="Times New Roman"/>
          <w:color w:val="000000" w:themeColor="text1"/>
          <w:sz w:val="24"/>
          <w:szCs w:val="24"/>
        </w:rPr>
        <w:lastRenderedPageBreak/>
        <w:t>пропозиції, учасник не набував статусу «дефолтного» та/або «переддефолтного» та </w:t>
      </w:r>
      <w:bookmarkStart w:id="4"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3168E6" w:rsidRDefault="00D24AFE" w:rsidP="0030090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rsidR="00D24AFE" w:rsidRPr="0030090E" w:rsidRDefault="0030090E" w:rsidP="0030090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3.4. </w:t>
      </w:r>
      <w:r w:rsidR="00D34EA8" w:rsidRPr="0030090E">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0090E">
        <w:rPr>
          <w:rFonts w:ascii="Times New Roman" w:eastAsia="Times New Roman" w:hAnsi="Times New Roman" w:cs="Times New Roman"/>
          <w:color w:val="000000" w:themeColor="text1"/>
          <w:sz w:val="24"/>
          <w:szCs w:val="24"/>
          <w:lang w:eastAsia="en-US"/>
        </w:rPr>
        <w:t>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24AFE" w:rsidRPr="002E02DE" w:rsidRDefault="00D24AFE" w:rsidP="0030090E">
      <w:pPr>
        <w:spacing w:after="0" w:line="240" w:lineRule="auto"/>
        <w:ind w:firstLine="709"/>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w:t>
      </w:r>
      <w:r w:rsidRPr="0030090E">
        <w:rPr>
          <w:rFonts w:ascii="Times New Roman" w:eastAsia="Times New Roman" w:hAnsi="Times New Roman" w:cs="Times New Roman"/>
          <w:b/>
          <w:color w:val="000000" w:themeColor="text1"/>
          <w:sz w:val="24"/>
          <w:szCs w:val="24"/>
          <w:lang w:eastAsia="en-US"/>
        </w:rPr>
        <w:t>у складі пропозиції повинен надати чинний сертифікат</w:t>
      </w:r>
      <w:r w:rsidRPr="002E02DE">
        <w:rPr>
          <w:rFonts w:ascii="Times New Roman" w:eastAsia="Times New Roman" w:hAnsi="Times New Roman" w:cs="Times New Roman"/>
          <w:color w:val="000000" w:themeColor="text1"/>
          <w:sz w:val="24"/>
          <w:szCs w:val="24"/>
          <w:lang w:eastAsia="en-US"/>
        </w:rPr>
        <w:t xml:space="preserve"> ISO 27701:2019 «Методи безпеки. Розширення до  </w:t>
      </w:r>
      <w:bookmarkStart w:id="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71" w:rsidRDefault="00B20A71" w:rsidP="00177333">
      <w:pPr>
        <w:spacing w:after="0" w:line="240" w:lineRule="auto"/>
      </w:pPr>
      <w:r>
        <w:separator/>
      </w:r>
    </w:p>
  </w:endnote>
  <w:endnote w:type="continuationSeparator" w:id="1">
    <w:p w:rsidR="00B20A71" w:rsidRDefault="00B20A71"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71" w:rsidRDefault="00B20A71" w:rsidP="00177333">
      <w:pPr>
        <w:spacing w:after="0" w:line="240" w:lineRule="auto"/>
      </w:pPr>
      <w:r>
        <w:separator/>
      </w:r>
    </w:p>
  </w:footnote>
  <w:footnote w:type="continuationSeparator" w:id="1">
    <w:p w:rsidR="00B20A71" w:rsidRDefault="00B20A71"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21134"/>
    <w:rsid w:val="000126B7"/>
    <w:rsid w:val="00027BA5"/>
    <w:rsid w:val="000317E9"/>
    <w:rsid w:val="00040916"/>
    <w:rsid w:val="00071AD8"/>
    <w:rsid w:val="00074F03"/>
    <w:rsid w:val="00077C78"/>
    <w:rsid w:val="00096E13"/>
    <w:rsid w:val="000979AB"/>
    <w:rsid w:val="000B1A38"/>
    <w:rsid w:val="000B3445"/>
    <w:rsid w:val="000B7FC0"/>
    <w:rsid w:val="000D7D5C"/>
    <w:rsid w:val="000E2B25"/>
    <w:rsid w:val="000E3ED4"/>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21F7"/>
    <w:rsid w:val="002067A4"/>
    <w:rsid w:val="002076A8"/>
    <w:rsid w:val="00215A12"/>
    <w:rsid w:val="00216FE0"/>
    <w:rsid w:val="002206D2"/>
    <w:rsid w:val="00220A5A"/>
    <w:rsid w:val="00224BF8"/>
    <w:rsid w:val="0023654C"/>
    <w:rsid w:val="00236945"/>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090E"/>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5981"/>
    <w:rsid w:val="00416104"/>
    <w:rsid w:val="00420B45"/>
    <w:rsid w:val="004368A9"/>
    <w:rsid w:val="00443873"/>
    <w:rsid w:val="00446FC0"/>
    <w:rsid w:val="00495C59"/>
    <w:rsid w:val="004A2AF1"/>
    <w:rsid w:val="004A2DD8"/>
    <w:rsid w:val="004C7016"/>
    <w:rsid w:val="004C7ED7"/>
    <w:rsid w:val="004E239D"/>
    <w:rsid w:val="004E4EA5"/>
    <w:rsid w:val="00502D79"/>
    <w:rsid w:val="005041A9"/>
    <w:rsid w:val="00524473"/>
    <w:rsid w:val="00524B59"/>
    <w:rsid w:val="00542DB5"/>
    <w:rsid w:val="00554B1A"/>
    <w:rsid w:val="005619C1"/>
    <w:rsid w:val="00561D8F"/>
    <w:rsid w:val="0058395C"/>
    <w:rsid w:val="005C1DCE"/>
    <w:rsid w:val="005D022C"/>
    <w:rsid w:val="005F6ECC"/>
    <w:rsid w:val="006234A5"/>
    <w:rsid w:val="00626298"/>
    <w:rsid w:val="0064181F"/>
    <w:rsid w:val="0066288E"/>
    <w:rsid w:val="00663B53"/>
    <w:rsid w:val="00676192"/>
    <w:rsid w:val="00686604"/>
    <w:rsid w:val="006905BD"/>
    <w:rsid w:val="006A33EB"/>
    <w:rsid w:val="006A647C"/>
    <w:rsid w:val="006B6111"/>
    <w:rsid w:val="006C1E61"/>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7F4A3B"/>
    <w:rsid w:val="00813954"/>
    <w:rsid w:val="008149F5"/>
    <w:rsid w:val="00834788"/>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529BA"/>
    <w:rsid w:val="00967815"/>
    <w:rsid w:val="00967ACE"/>
    <w:rsid w:val="00973DE9"/>
    <w:rsid w:val="009A4EEE"/>
    <w:rsid w:val="009A7715"/>
    <w:rsid w:val="009B65D2"/>
    <w:rsid w:val="009C66D9"/>
    <w:rsid w:val="009D0627"/>
    <w:rsid w:val="009D4EE8"/>
    <w:rsid w:val="009D7903"/>
    <w:rsid w:val="009D79AD"/>
    <w:rsid w:val="00A02584"/>
    <w:rsid w:val="00A2301D"/>
    <w:rsid w:val="00A3673A"/>
    <w:rsid w:val="00A51B64"/>
    <w:rsid w:val="00A62D48"/>
    <w:rsid w:val="00A725B8"/>
    <w:rsid w:val="00A80313"/>
    <w:rsid w:val="00A81D07"/>
    <w:rsid w:val="00A912B9"/>
    <w:rsid w:val="00AB5C11"/>
    <w:rsid w:val="00AC769B"/>
    <w:rsid w:val="00AD1FBB"/>
    <w:rsid w:val="00AF25CF"/>
    <w:rsid w:val="00AF7E06"/>
    <w:rsid w:val="00B06B1D"/>
    <w:rsid w:val="00B20A71"/>
    <w:rsid w:val="00B40336"/>
    <w:rsid w:val="00B44F3E"/>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4EA8"/>
    <w:rsid w:val="00D3613C"/>
    <w:rsid w:val="00D45A5C"/>
    <w:rsid w:val="00D4682D"/>
    <w:rsid w:val="00D50EEF"/>
    <w:rsid w:val="00D65DBE"/>
    <w:rsid w:val="00D71E99"/>
    <w:rsid w:val="00D80CF5"/>
    <w:rsid w:val="00D874EA"/>
    <w:rsid w:val="00D90187"/>
    <w:rsid w:val="00DC672B"/>
    <w:rsid w:val="00DE4039"/>
    <w:rsid w:val="00DE4514"/>
    <w:rsid w:val="00DF1A7A"/>
    <w:rsid w:val="00DF4333"/>
    <w:rsid w:val="00E3511E"/>
    <w:rsid w:val="00E37D69"/>
    <w:rsid w:val="00E50B4E"/>
    <w:rsid w:val="00E5287D"/>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top w:w="0" w:type="dxa"/>
        <w:left w:w="108" w:type="dxa"/>
        <w:bottom w:w="0" w:type="dxa"/>
        <w:right w:w="108" w:type="dxa"/>
      </w:tblCellMar>
    </w:tblPr>
  </w:style>
  <w:style w:type="table" w:customStyle="1" w:styleId="af6">
    <w:basedOn w:val="TableNormal2"/>
    <w:rsid w:val="00B40336"/>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r="http://schemas.openxmlformats.org/officeDocument/2006/relationships" xmlns:w="http://schemas.openxmlformats.org/wordprocessingml/2006/main">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7500</Words>
  <Characters>4276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2023-11-29T09:30:00Z</dcterms:created>
  <dcterms:modified xsi:type="dcterms:W3CDTF">2023-12-07T13:46:00Z</dcterms:modified>
</cp:coreProperties>
</file>