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>___________________  20</w:t>
      </w:r>
      <w:r w:rsidR="007E3C23">
        <w:rPr>
          <w:b/>
          <w:bCs/>
        </w:rPr>
        <w:t>24</w:t>
      </w:r>
      <w:r w:rsidRPr="003E7252">
        <w:rPr>
          <w:b/>
          <w:bCs/>
        </w:rPr>
        <w:t xml:space="preserve">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>Код ДК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>3. Телефон/факс, e</w:t>
      </w:r>
      <w:r w:rsidR="00C7466D" w:rsidRPr="003E7252">
        <w:t>mail__________________________________________________________.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 xml:space="preserve">Ми погоджуємося з основними умовами Договору, які викладені у додатку 5 «Проєкт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7466D"/>
    <w:rsid w:val="001819D5"/>
    <w:rsid w:val="007E3C23"/>
    <w:rsid w:val="00832765"/>
    <w:rsid w:val="008931DF"/>
    <w:rsid w:val="00961CC4"/>
    <w:rsid w:val="009733C8"/>
    <w:rsid w:val="00A44B77"/>
    <w:rsid w:val="00C12157"/>
    <w:rsid w:val="00C7466D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2024-03-28T16:17:00Z</dcterms:modified>
</cp:coreProperties>
</file>