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91B" w:rsidRPr="0051191B" w:rsidRDefault="0051191B" w:rsidP="0051191B">
      <w:pPr>
        <w:spacing w:after="0"/>
        <w:jc w:val="right"/>
        <w:rPr>
          <w:rFonts w:ascii="Times New Roman" w:hAnsi="Times New Roman" w:cs="Times New Roman"/>
          <w:b/>
          <w:bCs/>
          <w:lang w:val="uk-UA"/>
        </w:rPr>
      </w:pPr>
      <w:r w:rsidRPr="0051191B">
        <w:rPr>
          <w:rFonts w:ascii="Times New Roman" w:hAnsi="Times New Roman" w:cs="Times New Roman"/>
          <w:b/>
          <w:bCs/>
          <w:lang w:val="uk-UA"/>
        </w:rPr>
        <w:t>ДОДАТОК № 3</w:t>
      </w:r>
    </w:p>
    <w:p w:rsidR="0051191B" w:rsidRPr="0051191B" w:rsidRDefault="0051191B" w:rsidP="0051191B">
      <w:pPr>
        <w:spacing w:after="0" w:line="240" w:lineRule="auto"/>
        <w:ind w:left="5660" w:firstLine="700"/>
        <w:jc w:val="right"/>
        <w:rPr>
          <w:rFonts w:ascii="Times New Roman" w:eastAsia="Times New Roman" w:hAnsi="Times New Roman" w:cs="Times New Roman"/>
          <w:i/>
          <w:color w:val="000000"/>
          <w:sz w:val="20"/>
          <w:szCs w:val="20"/>
          <w:lang w:val="uk-UA"/>
        </w:rPr>
      </w:pPr>
      <w:r w:rsidRPr="0051191B">
        <w:rPr>
          <w:rFonts w:ascii="Times New Roman" w:eastAsia="Times New Roman" w:hAnsi="Times New Roman" w:cs="Times New Roman"/>
          <w:b/>
          <w:color w:val="000000"/>
          <w:sz w:val="20"/>
          <w:szCs w:val="20"/>
          <w:lang w:val="uk-UA"/>
        </w:rPr>
        <w:t>до тендерної документації</w:t>
      </w:r>
    </w:p>
    <w:p w:rsidR="0051191B" w:rsidRPr="0051191B" w:rsidRDefault="0051191B" w:rsidP="0051191B">
      <w:pPr>
        <w:jc w:val="right"/>
        <w:rPr>
          <w:rFonts w:ascii="Times New Roman" w:hAnsi="Times New Roman" w:cs="Times New Roman"/>
          <w:b/>
          <w:bCs/>
          <w:lang w:val="uk-UA"/>
        </w:rPr>
      </w:pPr>
    </w:p>
    <w:p w:rsidR="0051191B" w:rsidRPr="0051191B" w:rsidRDefault="0051191B" w:rsidP="0051191B">
      <w:pPr>
        <w:keepNext/>
        <w:spacing w:after="0" w:line="240" w:lineRule="auto"/>
        <w:jc w:val="center"/>
        <w:outlineLvl w:val="0"/>
        <w:rPr>
          <w:rFonts w:ascii="Times New Roman" w:hAnsi="Times New Roman" w:cs="Times New Roman"/>
          <w:b/>
          <w:bCs/>
          <w:lang w:val="uk-UA"/>
        </w:rPr>
      </w:pPr>
      <w:r w:rsidRPr="0051191B">
        <w:rPr>
          <w:rFonts w:ascii="Times New Roman" w:hAnsi="Times New Roman" w:cs="Times New Roman"/>
          <w:b/>
          <w:lang w:val="uk-UA"/>
        </w:rPr>
        <w:t xml:space="preserve"> </w:t>
      </w:r>
      <w:r w:rsidRPr="0051191B">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p w:rsidR="0051191B" w:rsidRPr="0051191B" w:rsidRDefault="0051191B" w:rsidP="0051191B">
      <w:pPr>
        <w:keepNext/>
        <w:spacing w:after="0" w:line="240" w:lineRule="auto"/>
        <w:jc w:val="center"/>
        <w:outlineLvl w:val="0"/>
        <w:rPr>
          <w:rFonts w:ascii="Times New Roman" w:hAnsi="Times New Roman" w:cs="Times New Roman"/>
          <w:b/>
          <w:bCs/>
          <w:lang w:val="uk-UA"/>
        </w:rPr>
      </w:pPr>
      <w:r w:rsidRPr="0051191B">
        <w:rPr>
          <w:rFonts w:ascii="Times New Roman" w:eastAsia="Times New Roman" w:hAnsi="Times New Roman" w:cs="Times New Roman"/>
          <w:b/>
          <w:bCs/>
          <w:color w:val="000000"/>
          <w:sz w:val="24"/>
          <w:szCs w:val="24"/>
          <w:lang w:val="uk-UA"/>
        </w:rPr>
        <w:t>Код ДК 021:2015 09310000-5 Електрична енергія</w:t>
      </w:r>
      <w:r w:rsidRPr="0051191B">
        <w:rPr>
          <w:rFonts w:ascii="Times New Roman" w:hAnsi="Times New Roman" w:cs="Times New Roman"/>
          <w:b/>
          <w:bCs/>
          <w:lang w:val="uk-UA"/>
        </w:rPr>
        <w:t xml:space="preserve"> </w:t>
      </w:r>
    </w:p>
    <w:p w:rsidR="0051191B" w:rsidRPr="0051191B" w:rsidRDefault="0051191B" w:rsidP="0051191B">
      <w:pPr>
        <w:pStyle w:val="a3"/>
        <w:spacing w:before="0" w:beforeAutospacing="0" w:after="0" w:afterAutospacing="0"/>
        <w:ind w:firstLine="426"/>
        <w:jc w:val="both"/>
        <w:rPr>
          <w:sz w:val="22"/>
          <w:szCs w:val="22"/>
          <w:lang w:eastAsia="ru-RU"/>
        </w:rPr>
      </w:pPr>
    </w:p>
    <w:p w:rsidR="0051191B" w:rsidRPr="0051191B" w:rsidRDefault="0051191B" w:rsidP="0051191B">
      <w:pPr>
        <w:tabs>
          <w:tab w:val="left" w:pos="708"/>
        </w:tabs>
        <w:spacing w:after="0" w:line="240" w:lineRule="auto"/>
        <w:ind w:firstLine="510"/>
        <w:jc w:val="both"/>
        <w:rPr>
          <w:rFonts w:ascii="Times New Roman" w:hAnsi="Times New Roman" w:cs="Times New Roman"/>
          <w:sz w:val="20"/>
          <w:szCs w:val="20"/>
          <w:highlight w:val="yellow"/>
          <w:lang w:val="uk-UA"/>
        </w:rPr>
      </w:pPr>
      <w:r w:rsidRPr="0051191B">
        <w:rPr>
          <w:rFonts w:ascii="Times New Roman" w:hAnsi="Times New Roman" w:cs="Times New Roman"/>
          <w:b/>
          <w:color w:val="121212"/>
          <w:sz w:val="20"/>
          <w:szCs w:val="20"/>
          <w:u w:val="single"/>
          <w:lang w:val="uk-UA"/>
        </w:rPr>
        <w:t>Електрична енергія</w:t>
      </w:r>
      <w:r w:rsidRPr="0051191B">
        <w:rPr>
          <w:rFonts w:ascii="Times New Roman" w:hAnsi="Times New Roman" w:cs="Times New Roman"/>
          <w:color w:val="121212"/>
          <w:sz w:val="20"/>
          <w:szCs w:val="20"/>
          <w:lang w:val="uk-UA"/>
        </w:rPr>
        <w:t xml:space="preserve"> - </w:t>
      </w:r>
      <w:r w:rsidRPr="0051191B">
        <w:rPr>
          <w:rFonts w:ascii="Times New Roman" w:hAnsi="Times New Roman" w:cs="Times New Roman"/>
          <w:color w:val="000000"/>
          <w:sz w:val="20"/>
          <w:szCs w:val="20"/>
          <w:shd w:val="clear" w:color="auto" w:fill="FFFFFF"/>
          <w:lang w:val="uk-UA"/>
        </w:rPr>
        <w:t>енергія, що виробляється на об’єктах електроенергетики і є товаром, призначеним для купівлі-продажу</w:t>
      </w:r>
    </w:p>
    <w:p w:rsidR="0051191B" w:rsidRPr="0051191B" w:rsidRDefault="0051191B" w:rsidP="0051191B">
      <w:pPr>
        <w:spacing w:after="0" w:line="240" w:lineRule="auto"/>
        <w:ind w:firstLine="567"/>
        <w:jc w:val="both"/>
        <w:rPr>
          <w:rFonts w:ascii="Times New Roman" w:hAnsi="Times New Roman" w:cs="Times New Roman"/>
          <w:b/>
          <w:sz w:val="20"/>
          <w:szCs w:val="20"/>
          <w:u w:val="single"/>
          <w:lang w:val="uk-UA"/>
        </w:rPr>
      </w:pPr>
      <w:r w:rsidRPr="0051191B">
        <w:rPr>
          <w:rFonts w:ascii="Times New Roman" w:hAnsi="Times New Roman" w:cs="Times New Roman"/>
          <w:b/>
          <w:color w:val="121212"/>
          <w:sz w:val="20"/>
          <w:szCs w:val="20"/>
          <w:u w:val="single"/>
          <w:lang w:val="uk-UA"/>
        </w:rPr>
        <w:t>Кількість – 165</w:t>
      </w:r>
      <w:r w:rsidRPr="0051191B">
        <w:rPr>
          <w:rFonts w:ascii="Times New Roman" w:hAnsi="Times New Roman" w:cs="Times New Roman"/>
          <w:b/>
          <w:bCs/>
          <w:sz w:val="20"/>
          <w:szCs w:val="20"/>
          <w:u w:val="single"/>
          <w:lang w:val="uk-UA"/>
        </w:rPr>
        <w:t> 875 кВт/год.</w:t>
      </w:r>
      <w:r w:rsidRPr="0051191B">
        <w:rPr>
          <w:rFonts w:ascii="Times New Roman" w:hAnsi="Times New Roman" w:cs="Times New Roman"/>
          <w:b/>
          <w:sz w:val="20"/>
          <w:szCs w:val="20"/>
          <w:u w:val="single"/>
          <w:lang w:val="uk-UA"/>
        </w:rPr>
        <w:t xml:space="preserve"> </w:t>
      </w:r>
    </w:p>
    <w:p w:rsidR="0051191B" w:rsidRPr="0051191B" w:rsidRDefault="0051191B" w:rsidP="0051191B">
      <w:pPr>
        <w:spacing w:after="0" w:line="240" w:lineRule="auto"/>
        <w:rPr>
          <w:rFonts w:ascii="Times New Roman" w:hAnsi="Times New Roman" w:cs="Times New Roman"/>
          <w:sz w:val="20"/>
          <w:szCs w:val="20"/>
          <w:lang w:val="uk-UA"/>
        </w:rPr>
      </w:pPr>
      <w:r w:rsidRPr="0051191B">
        <w:rPr>
          <w:rFonts w:ascii="Times New Roman" w:hAnsi="Times New Roman" w:cs="Times New Roman"/>
          <w:sz w:val="20"/>
          <w:szCs w:val="20"/>
          <w:lang w:val="uk-UA"/>
        </w:rPr>
        <w:t xml:space="preserve">Торгова зона – </w:t>
      </w:r>
      <w:r w:rsidRPr="0051191B">
        <w:rPr>
          <w:rFonts w:ascii="Times New Roman" w:hAnsi="Times New Roman" w:cs="Times New Roman"/>
          <w:sz w:val="20"/>
          <w:szCs w:val="20"/>
          <w:shd w:val="clear" w:color="auto" w:fill="FFFFFF"/>
          <w:lang w:val="uk-UA"/>
        </w:rPr>
        <w:t>«Об’єднана енергосистема України»</w:t>
      </w:r>
    </w:p>
    <w:p w:rsidR="0051191B" w:rsidRPr="0051191B" w:rsidRDefault="0051191B" w:rsidP="0051191B">
      <w:pPr>
        <w:widowControl w:val="0"/>
        <w:spacing w:after="0" w:line="240" w:lineRule="auto"/>
        <w:ind w:firstLine="567"/>
        <w:jc w:val="both"/>
        <w:rPr>
          <w:rFonts w:ascii="Times New Roman" w:hAnsi="Times New Roman" w:cs="Times New Roman"/>
          <w:sz w:val="20"/>
          <w:szCs w:val="20"/>
          <w:lang w:val="uk-UA"/>
        </w:rPr>
      </w:pPr>
      <w:r w:rsidRPr="0051191B">
        <w:rPr>
          <w:rFonts w:ascii="Times New Roman" w:hAnsi="Times New Roman" w:cs="Times New Roman"/>
          <w:sz w:val="20"/>
          <w:szCs w:val="20"/>
          <w:lang w:val="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регулюються наступними нормативно-правовими актами:</w:t>
      </w:r>
    </w:p>
    <w:p w:rsidR="0051191B" w:rsidRPr="0051191B" w:rsidRDefault="0051191B" w:rsidP="0051191B">
      <w:pPr>
        <w:widowControl w:val="0"/>
        <w:tabs>
          <w:tab w:val="left" w:pos="284"/>
        </w:tabs>
        <w:spacing w:after="0" w:line="240" w:lineRule="auto"/>
        <w:jc w:val="both"/>
        <w:rPr>
          <w:rFonts w:ascii="Times New Roman" w:hAnsi="Times New Roman" w:cs="Times New Roman"/>
          <w:sz w:val="20"/>
          <w:szCs w:val="20"/>
          <w:lang w:val="uk-UA"/>
        </w:rPr>
      </w:pPr>
      <w:r w:rsidRPr="0051191B">
        <w:rPr>
          <w:rFonts w:ascii="Times New Roman" w:hAnsi="Times New Roman" w:cs="Times New Roman"/>
          <w:sz w:val="20"/>
          <w:szCs w:val="20"/>
          <w:lang w:val="uk-UA"/>
        </w:rPr>
        <w:t>•</w:t>
      </w:r>
      <w:r w:rsidRPr="0051191B">
        <w:rPr>
          <w:rFonts w:ascii="Times New Roman" w:hAnsi="Times New Roman" w:cs="Times New Roman"/>
          <w:sz w:val="20"/>
          <w:szCs w:val="20"/>
          <w:lang w:val="uk-UA"/>
        </w:rPr>
        <w:tab/>
        <w:t>Закон України «Про ринок електричної енергії» від 13.04.2017 № 2019-VIII;</w:t>
      </w:r>
    </w:p>
    <w:p w:rsidR="0051191B" w:rsidRPr="0051191B" w:rsidRDefault="0051191B" w:rsidP="0051191B">
      <w:pPr>
        <w:widowControl w:val="0"/>
        <w:tabs>
          <w:tab w:val="left" w:pos="284"/>
        </w:tabs>
        <w:spacing w:after="0" w:line="240" w:lineRule="auto"/>
        <w:jc w:val="both"/>
        <w:rPr>
          <w:rFonts w:ascii="Times New Roman" w:hAnsi="Times New Roman" w:cs="Times New Roman"/>
          <w:sz w:val="20"/>
          <w:szCs w:val="20"/>
          <w:lang w:val="uk-UA"/>
        </w:rPr>
      </w:pPr>
      <w:r w:rsidRPr="0051191B">
        <w:rPr>
          <w:rFonts w:ascii="Times New Roman" w:hAnsi="Times New Roman" w:cs="Times New Roman"/>
          <w:sz w:val="20"/>
          <w:szCs w:val="20"/>
          <w:lang w:val="uk-UA"/>
        </w:rPr>
        <w:t>•</w:t>
      </w:r>
      <w:r w:rsidRPr="0051191B">
        <w:rPr>
          <w:rFonts w:ascii="Times New Roman" w:hAnsi="Times New Roman" w:cs="Times New Roman"/>
          <w:sz w:val="20"/>
          <w:szCs w:val="20"/>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51191B" w:rsidRPr="0051191B" w:rsidRDefault="0051191B" w:rsidP="0051191B">
      <w:pPr>
        <w:widowControl w:val="0"/>
        <w:tabs>
          <w:tab w:val="left" w:pos="284"/>
        </w:tabs>
        <w:spacing w:after="0" w:line="240" w:lineRule="auto"/>
        <w:jc w:val="both"/>
        <w:rPr>
          <w:rFonts w:ascii="Times New Roman" w:hAnsi="Times New Roman" w:cs="Times New Roman"/>
          <w:sz w:val="20"/>
          <w:szCs w:val="20"/>
          <w:lang w:val="uk-UA"/>
        </w:rPr>
      </w:pPr>
      <w:r w:rsidRPr="0051191B">
        <w:rPr>
          <w:rFonts w:ascii="Times New Roman" w:hAnsi="Times New Roman" w:cs="Times New Roman"/>
          <w:sz w:val="20"/>
          <w:szCs w:val="20"/>
          <w:lang w:val="uk-UA"/>
        </w:rPr>
        <w:t>•</w:t>
      </w:r>
      <w:r w:rsidRPr="0051191B">
        <w:rPr>
          <w:rFonts w:ascii="Times New Roman" w:hAnsi="Times New Roman" w:cs="Times New Roman"/>
          <w:sz w:val="20"/>
          <w:szCs w:val="20"/>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51191B" w:rsidRPr="0051191B" w:rsidRDefault="0051191B" w:rsidP="0051191B">
      <w:pPr>
        <w:widowControl w:val="0"/>
        <w:tabs>
          <w:tab w:val="left" w:pos="284"/>
        </w:tabs>
        <w:spacing w:after="0" w:line="240" w:lineRule="auto"/>
        <w:jc w:val="both"/>
        <w:rPr>
          <w:rFonts w:ascii="Times New Roman" w:hAnsi="Times New Roman" w:cs="Times New Roman"/>
          <w:sz w:val="20"/>
          <w:szCs w:val="20"/>
          <w:lang w:val="uk-UA"/>
        </w:rPr>
      </w:pPr>
      <w:r w:rsidRPr="0051191B">
        <w:rPr>
          <w:rFonts w:ascii="Times New Roman" w:hAnsi="Times New Roman" w:cs="Times New Roman"/>
          <w:sz w:val="20"/>
          <w:szCs w:val="20"/>
          <w:lang w:val="uk-UA"/>
        </w:rPr>
        <w:t>•</w:t>
      </w:r>
      <w:r w:rsidRPr="0051191B">
        <w:rPr>
          <w:rFonts w:ascii="Times New Roman" w:hAnsi="Times New Roman" w:cs="Times New Roman"/>
          <w:sz w:val="20"/>
          <w:szCs w:val="20"/>
          <w:lang w:val="uk-UA"/>
        </w:rPr>
        <w:tab/>
        <w:t xml:space="preserve">Кодекс системи передачі, затверджений постановою Національної комісії регулювання електроенергетики та комунальних послуг України від </w:t>
      </w:r>
      <w:proofErr w:type="spellStart"/>
      <w:r w:rsidRPr="0051191B">
        <w:rPr>
          <w:rFonts w:ascii="Times New Roman" w:hAnsi="Times New Roman" w:cs="Times New Roman"/>
          <w:sz w:val="20"/>
          <w:szCs w:val="20"/>
          <w:lang w:val="uk-UA"/>
        </w:rPr>
        <w:t>від</w:t>
      </w:r>
      <w:proofErr w:type="spellEnd"/>
      <w:r w:rsidRPr="0051191B">
        <w:rPr>
          <w:rFonts w:ascii="Times New Roman" w:hAnsi="Times New Roman" w:cs="Times New Roman"/>
          <w:sz w:val="20"/>
          <w:szCs w:val="20"/>
          <w:lang w:val="uk-UA"/>
        </w:rPr>
        <w:t xml:space="preserve"> 14.03.2018 року № 309;</w:t>
      </w:r>
    </w:p>
    <w:p w:rsidR="0051191B" w:rsidRPr="0051191B" w:rsidRDefault="0051191B" w:rsidP="0051191B">
      <w:pPr>
        <w:shd w:val="clear" w:color="auto" w:fill="FFFFFF"/>
        <w:spacing w:after="0" w:line="240" w:lineRule="auto"/>
        <w:jc w:val="center"/>
        <w:rPr>
          <w:rFonts w:ascii="Times New Roman" w:hAnsi="Times New Roman" w:cs="Times New Roman"/>
          <w:b/>
          <w:sz w:val="20"/>
          <w:szCs w:val="20"/>
          <w:lang w:val="uk-UA"/>
        </w:rPr>
      </w:pPr>
      <w:r w:rsidRPr="0051191B">
        <w:rPr>
          <w:rFonts w:ascii="Times New Roman" w:hAnsi="Times New Roman" w:cs="Times New Roman"/>
          <w:b/>
          <w:bCs/>
          <w:sz w:val="20"/>
          <w:szCs w:val="20"/>
          <w:lang w:val="uk-UA"/>
        </w:rPr>
        <w:t>Якість електричної енергії</w:t>
      </w:r>
    </w:p>
    <w:p w:rsidR="0051191B" w:rsidRPr="0051191B" w:rsidRDefault="0051191B" w:rsidP="0051191B">
      <w:pPr>
        <w:shd w:val="clear" w:color="auto" w:fill="FFFFFF"/>
        <w:spacing w:after="0" w:line="240" w:lineRule="auto"/>
        <w:ind w:firstLine="567"/>
        <w:jc w:val="both"/>
        <w:rPr>
          <w:rFonts w:ascii="Times New Roman" w:hAnsi="Times New Roman" w:cs="Times New Roman"/>
          <w:sz w:val="20"/>
          <w:szCs w:val="20"/>
          <w:lang w:val="uk-UA"/>
        </w:rPr>
      </w:pPr>
      <w:r w:rsidRPr="0051191B">
        <w:rPr>
          <w:rFonts w:ascii="Times New Roman" w:hAnsi="Times New Roman" w:cs="Times New Roman"/>
          <w:sz w:val="20"/>
          <w:szCs w:val="20"/>
          <w:lang w:val="uk-UA"/>
        </w:rPr>
        <w:t>Якість електричної енергії - це сукупність властивостей електричної енергії відповідно до встановлених стандартів, які визначають ступінь її придатності для використання за призначення.</w:t>
      </w:r>
    </w:p>
    <w:p w:rsidR="0051191B" w:rsidRPr="0051191B" w:rsidRDefault="0051191B" w:rsidP="0051191B">
      <w:pPr>
        <w:shd w:val="clear" w:color="auto" w:fill="FFFFFF"/>
        <w:spacing w:after="0" w:line="240" w:lineRule="auto"/>
        <w:ind w:firstLine="567"/>
        <w:jc w:val="both"/>
        <w:rPr>
          <w:rFonts w:ascii="Times New Roman" w:hAnsi="Times New Roman" w:cs="Times New Roman"/>
          <w:sz w:val="20"/>
          <w:szCs w:val="20"/>
          <w:lang w:val="uk-UA"/>
        </w:rPr>
      </w:pPr>
      <w:r w:rsidRPr="0051191B">
        <w:rPr>
          <w:rFonts w:ascii="Times New Roman" w:hAnsi="Times New Roman" w:cs="Times New Roman"/>
          <w:sz w:val="20"/>
          <w:szCs w:val="20"/>
          <w:lang w:val="uk-UA"/>
        </w:rPr>
        <w:t>Відповідно до положень пункту 11.4.6 глави 11.4 розділу XI </w:t>
      </w:r>
      <w:hyperlink r:id="rId4" w:history="1">
        <w:r w:rsidRPr="0051191B">
          <w:rPr>
            <w:rFonts w:ascii="Times New Roman" w:hAnsi="Times New Roman" w:cs="Times New Roman"/>
            <w:sz w:val="20"/>
            <w:szCs w:val="20"/>
            <w:lang w:val="uk-UA"/>
          </w:rPr>
          <w:t>Кодексу систем розподілу</w:t>
        </w:r>
      </w:hyperlink>
      <w:r w:rsidRPr="0051191B">
        <w:rPr>
          <w:rFonts w:ascii="Times New Roman" w:hAnsi="Times New Roman" w:cs="Times New Roman"/>
          <w:sz w:val="20"/>
          <w:szCs w:val="20"/>
          <w:lang w:val="uk-UA"/>
        </w:rPr>
        <w:t xml:space="preserve">,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51191B">
        <w:rPr>
          <w:rFonts w:ascii="Times New Roman" w:hAnsi="Times New Roman" w:cs="Times New Roman"/>
          <w:sz w:val="20"/>
          <w:szCs w:val="20"/>
          <w:lang w:val="uk-UA"/>
        </w:rPr>
        <w:t>призначеності</w:t>
      </w:r>
      <w:proofErr w:type="spellEnd"/>
      <w:r w:rsidRPr="0051191B">
        <w:rPr>
          <w:rFonts w:ascii="Times New Roman" w:hAnsi="Times New Roman" w:cs="Times New Roman"/>
          <w:sz w:val="20"/>
          <w:szCs w:val="20"/>
          <w:lang w:val="uk-UA"/>
        </w:rPr>
        <w:t>» (далі – ДСТУ EN 50160:2014).</w:t>
      </w:r>
    </w:p>
    <w:p w:rsidR="0051191B" w:rsidRPr="0051191B" w:rsidRDefault="0051191B" w:rsidP="0051191B">
      <w:pPr>
        <w:shd w:val="clear" w:color="auto" w:fill="FFFFFF"/>
        <w:spacing w:after="0" w:line="240" w:lineRule="auto"/>
        <w:ind w:firstLine="567"/>
        <w:jc w:val="both"/>
        <w:rPr>
          <w:rFonts w:ascii="Times New Roman" w:hAnsi="Times New Roman" w:cs="Times New Roman"/>
          <w:sz w:val="20"/>
          <w:szCs w:val="20"/>
          <w:lang w:val="uk-UA"/>
        </w:rPr>
      </w:pPr>
      <w:r w:rsidRPr="0051191B">
        <w:rPr>
          <w:rFonts w:ascii="Times New Roman" w:hAnsi="Times New Roman" w:cs="Times New Roman"/>
          <w:sz w:val="20"/>
          <w:szCs w:val="20"/>
          <w:lang w:val="uk-UA"/>
        </w:rPr>
        <w:t>Основні показники якості електричної енергії визначені у пунктах 11.4.7 – 11.4.12 глави 11.4 розділу XІ КСР.</w:t>
      </w:r>
    </w:p>
    <w:p w:rsidR="0051191B" w:rsidRPr="0051191B" w:rsidRDefault="0051191B" w:rsidP="0051191B">
      <w:pPr>
        <w:shd w:val="clear" w:color="auto" w:fill="FFFFFF"/>
        <w:spacing w:after="0" w:line="240" w:lineRule="auto"/>
        <w:ind w:firstLine="567"/>
        <w:jc w:val="both"/>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 xml:space="preserve">Стандартна номінальна напруга </w:t>
      </w:r>
      <w:proofErr w:type="spellStart"/>
      <w:r w:rsidRPr="0051191B">
        <w:rPr>
          <w:rFonts w:ascii="Times New Roman" w:hAnsi="Times New Roman" w:cs="Times New Roman"/>
          <w:sz w:val="20"/>
          <w:szCs w:val="20"/>
          <w:lang w:val="uk-UA"/>
        </w:rPr>
        <w:t>Uн</w:t>
      </w:r>
      <w:proofErr w:type="spellEnd"/>
      <w:r w:rsidRPr="0051191B">
        <w:rPr>
          <w:rFonts w:ascii="Times New Roman" w:hAnsi="Times New Roman" w:cs="Times New Roman"/>
          <w:sz w:val="20"/>
          <w:szCs w:val="20"/>
          <w:lang w:val="uk-UA"/>
        </w:rPr>
        <w:t xml:space="preserve"> для мереж низької напруги загального призначення має значення 220 В між фазним і нульовим проводом або між фазними проводами:</w:t>
      </w:r>
    </w:p>
    <w:p w:rsidR="0051191B" w:rsidRPr="0051191B" w:rsidRDefault="0051191B" w:rsidP="0051191B">
      <w:pPr>
        <w:shd w:val="clear" w:color="auto" w:fill="FFFFFF"/>
        <w:spacing w:after="0" w:line="240" w:lineRule="auto"/>
        <w:ind w:firstLine="567"/>
        <w:jc w:val="both"/>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 xml:space="preserve">- для трифазних </w:t>
      </w:r>
      <w:proofErr w:type="spellStart"/>
      <w:r w:rsidRPr="0051191B">
        <w:rPr>
          <w:rFonts w:ascii="Times New Roman" w:hAnsi="Times New Roman" w:cs="Times New Roman"/>
          <w:sz w:val="20"/>
          <w:szCs w:val="20"/>
          <w:lang w:val="uk-UA"/>
        </w:rPr>
        <w:t>чотирипровідних</w:t>
      </w:r>
      <w:proofErr w:type="spellEnd"/>
      <w:r w:rsidRPr="0051191B">
        <w:rPr>
          <w:rFonts w:ascii="Times New Roman" w:hAnsi="Times New Roman" w:cs="Times New Roman"/>
          <w:sz w:val="20"/>
          <w:szCs w:val="20"/>
          <w:lang w:val="uk-UA"/>
        </w:rPr>
        <w:t xml:space="preserve"> мереж: </w:t>
      </w:r>
      <w:proofErr w:type="spellStart"/>
      <w:r w:rsidRPr="0051191B">
        <w:rPr>
          <w:rFonts w:ascii="Times New Roman" w:hAnsi="Times New Roman" w:cs="Times New Roman"/>
          <w:sz w:val="20"/>
          <w:szCs w:val="20"/>
          <w:lang w:val="uk-UA"/>
        </w:rPr>
        <w:t>Uн</w:t>
      </w:r>
      <w:proofErr w:type="spellEnd"/>
      <w:r w:rsidRPr="0051191B">
        <w:rPr>
          <w:rFonts w:ascii="Times New Roman" w:hAnsi="Times New Roman" w:cs="Times New Roman"/>
          <w:sz w:val="20"/>
          <w:szCs w:val="20"/>
          <w:lang w:val="uk-UA"/>
        </w:rPr>
        <w:t xml:space="preserve"> = 220 В між фазним та нульовим проводом;</w:t>
      </w:r>
    </w:p>
    <w:p w:rsidR="0051191B" w:rsidRPr="0051191B" w:rsidRDefault="0051191B" w:rsidP="0051191B">
      <w:pPr>
        <w:shd w:val="clear" w:color="auto" w:fill="FFFFFF"/>
        <w:spacing w:after="0" w:line="240" w:lineRule="auto"/>
        <w:ind w:firstLine="567"/>
        <w:jc w:val="both"/>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 xml:space="preserve">- для трифазних </w:t>
      </w:r>
      <w:proofErr w:type="spellStart"/>
      <w:r w:rsidRPr="0051191B">
        <w:rPr>
          <w:rFonts w:ascii="Times New Roman" w:hAnsi="Times New Roman" w:cs="Times New Roman"/>
          <w:sz w:val="20"/>
          <w:szCs w:val="20"/>
          <w:lang w:val="uk-UA"/>
        </w:rPr>
        <w:t>трипровідних</w:t>
      </w:r>
      <w:proofErr w:type="spellEnd"/>
      <w:r w:rsidRPr="0051191B">
        <w:rPr>
          <w:rFonts w:ascii="Times New Roman" w:hAnsi="Times New Roman" w:cs="Times New Roman"/>
          <w:sz w:val="20"/>
          <w:szCs w:val="20"/>
          <w:lang w:val="uk-UA"/>
        </w:rPr>
        <w:t xml:space="preserve"> мереж: </w:t>
      </w:r>
      <w:proofErr w:type="spellStart"/>
      <w:r w:rsidRPr="0051191B">
        <w:rPr>
          <w:rFonts w:ascii="Times New Roman" w:hAnsi="Times New Roman" w:cs="Times New Roman"/>
          <w:sz w:val="20"/>
          <w:szCs w:val="20"/>
          <w:lang w:val="uk-UA"/>
        </w:rPr>
        <w:t>Uн</w:t>
      </w:r>
      <w:proofErr w:type="spellEnd"/>
      <w:r w:rsidRPr="0051191B">
        <w:rPr>
          <w:rFonts w:ascii="Times New Roman" w:hAnsi="Times New Roman" w:cs="Times New Roman"/>
          <w:sz w:val="20"/>
          <w:szCs w:val="20"/>
          <w:lang w:val="uk-UA"/>
        </w:rPr>
        <w:t xml:space="preserve"> = 220 В між фазними проводами.</w:t>
      </w:r>
    </w:p>
    <w:p w:rsidR="0051191B" w:rsidRPr="0051191B" w:rsidRDefault="0051191B" w:rsidP="0051191B">
      <w:pPr>
        <w:shd w:val="clear" w:color="auto" w:fill="FFFFFF"/>
        <w:spacing w:after="0" w:line="240" w:lineRule="auto"/>
        <w:ind w:firstLine="567"/>
        <w:jc w:val="both"/>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Зміна напруги не повинна перевищувати ± 10 % від величини номінальної напруги.</w:t>
      </w:r>
    </w:p>
    <w:p w:rsidR="0051191B" w:rsidRPr="0051191B" w:rsidRDefault="0051191B" w:rsidP="0051191B">
      <w:pPr>
        <w:shd w:val="clear" w:color="auto" w:fill="FFFFFF"/>
        <w:spacing w:after="0" w:line="240" w:lineRule="auto"/>
        <w:ind w:firstLine="567"/>
        <w:jc w:val="both"/>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Частота напруги електропостачання для мереж низької напруги має бути в межах:</w:t>
      </w:r>
    </w:p>
    <w:p w:rsidR="0051191B" w:rsidRPr="0051191B" w:rsidRDefault="0051191B" w:rsidP="0051191B">
      <w:pPr>
        <w:shd w:val="clear" w:color="auto" w:fill="FFFFFF"/>
        <w:spacing w:after="0" w:line="240" w:lineRule="auto"/>
        <w:ind w:firstLine="567"/>
        <w:jc w:val="both"/>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 xml:space="preserve">1) для систем, які синхронно приєднані до ОЕС України - 50 </w:t>
      </w:r>
      <w:proofErr w:type="spellStart"/>
      <w:r w:rsidRPr="0051191B">
        <w:rPr>
          <w:rFonts w:ascii="Times New Roman" w:hAnsi="Times New Roman" w:cs="Times New Roman"/>
          <w:sz w:val="20"/>
          <w:szCs w:val="20"/>
          <w:lang w:val="uk-UA"/>
        </w:rPr>
        <w:t>Гц</w:t>
      </w:r>
      <w:proofErr w:type="spellEnd"/>
      <w:r w:rsidRPr="0051191B">
        <w:rPr>
          <w:rFonts w:ascii="Times New Roman" w:hAnsi="Times New Roman" w:cs="Times New Roman"/>
          <w:sz w:val="20"/>
          <w:szCs w:val="20"/>
          <w:lang w:val="uk-UA"/>
        </w:rPr>
        <w:t xml:space="preserve"> ± 1 % протягом 99,5 % часу за рік та 50 </w:t>
      </w:r>
      <w:proofErr w:type="spellStart"/>
      <w:r w:rsidRPr="0051191B">
        <w:rPr>
          <w:rFonts w:ascii="Times New Roman" w:hAnsi="Times New Roman" w:cs="Times New Roman"/>
          <w:sz w:val="20"/>
          <w:szCs w:val="20"/>
          <w:lang w:val="uk-UA"/>
        </w:rPr>
        <w:t>Гц</w:t>
      </w:r>
      <w:proofErr w:type="spellEnd"/>
      <w:r w:rsidRPr="0051191B">
        <w:rPr>
          <w:rFonts w:ascii="Times New Roman" w:hAnsi="Times New Roman" w:cs="Times New Roman"/>
          <w:sz w:val="20"/>
          <w:szCs w:val="20"/>
          <w:lang w:val="uk-UA"/>
        </w:rPr>
        <w:t xml:space="preserve"> + 4 % ( - 6 %) протягом 100 % часу;</w:t>
      </w:r>
    </w:p>
    <w:p w:rsidR="0051191B" w:rsidRPr="0051191B" w:rsidRDefault="0051191B" w:rsidP="0051191B">
      <w:pPr>
        <w:shd w:val="clear" w:color="auto" w:fill="FFFFFF"/>
        <w:spacing w:after="0" w:line="240" w:lineRule="auto"/>
        <w:ind w:firstLine="567"/>
        <w:jc w:val="both"/>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 xml:space="preserve">2) для систем без синхронного приєднання до ОЕС України - 50 </w:t>
      </w:r>
      <w:proofErr w:type="spellStart"/>
      <w:r w:rsidRPr="0051191B">
        <w:rPr>
          <w:rFonts w:ascii="Times New Roman" w:hAnsi="Times New Roman" w:cs="Times New Roman"/>
          <w:sz w:val="20"/>
          <w:szCs w:val="20"/>
          <w:lang w:val="uk-UA"/>
        </w:rPr>
        <w:t>Гц</w:t>
      </w:r>
      <w:proofErr w:type="spellEnd"/>
      <w:r w:rsidRPr="0051191B">
        <w:rPr>
          <w:rFonts w:ascii="Times New Roman" w:hAnsi="Times New Roman" w:cs="Times New Roman"/>
          <w:sz w:val="20"/>
          <w:szCs w:val="20"/>
          <w:lang w:val="uk-UA"/>
        </w:rPr>
        <w:t xml:space="preserve"> ± 2 % протягом 99,5 % часу за рік та 50 </w:t>
      </w:r>
      <w:proofErr w:type="spellStart"/>
      <w:r w:rsidRPr="0051191B">
        <w:rPr>
          <w:rFonts w:ascii="Times New Roman" w:hAnsi="Times New Roman" w:cs="Times New Roman"/>
          <w:sz w:val="20"/>
          <w:szCs w:val="20"/>
          <w:lang w:val="uk-UA"/>
        </w:rPr>
        <w:t>Гц</w:t>
      </w:r>
      <w:proofErr w:type="spellEnd"/>
      <w:r w:rsidRPr="0051191B">
        <w:rPr>
          <w:rFonts w:ascii="Times New Roman" w:hAnsi="Times New Roman" w:cs="Times New Roman"/>
          <w:sz w:val="20"/>
          <w:szCs w:val="20"/>
          <w:lang w:val="uk-UA"/>
        </w:rPr>
        <w:t xml:space="preserve"> ± 15 % протягом 100 % часу.</w:t>
      </w:r>
    </w:p>
    <w:p w:rsidR="0051191B" w:rsidRPr="0051191B" w:rsidRDefault="0051191B" w:rsidP="0051191B">
      <w:pPr>
        <w:shd w:val="clear" w:color="auto" w:fill="FFFFFF"/>
        <w:spacing w:after="0" w:line="240" w:lineRule="auto"/>
        <w:ind w:firstLine="567"/>
        <w:jc w:val="both"/>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 xml:space="preserve">Показник довготривалого </w:t>
      </w:r>
      <w:proofErr w:type="spellStart"/>
      <w:r w:rsidRPr="0051191B">
        <w:rPr>
          <w:rFonts w:ascii="Times New Roman" w:hAnsi="Times New Roman" w:cs="Times New Roman"/>
          <w:sz w:val="20"/>
          <w:szCs w:val="20"/>
          <w:lang w:val="uk-UA"/>
        </w:rPr>
        <w:t>флікера</w:t>
      </w:r>
      <w:proofErr w:type="spellEnd"/>
      <w:r w:rsidRPr="0051191B">
        <w:rPr>
          <w:rFonts w:ascii="Times New Roman" w:hAnsi="Times New Roman" w:cs="Times New Roman"/>
          <w:sz w:val="20"/>
          <w:szCs w:val="20"/>
          <w:lang w:val="uk-UA"/>
        </w:rPr>
        <w:t xml:space="preserve"> (мерехтіння), спричиненого коливанням напруги, для мереж низької напруги має бути меншим або рівним 1 для 95 % часу спостереження.</w:t>
      </w:r>
    </w:p>
    <w:p w:rsidR="0051191B" w:rsidRPr="0051191B" w:rsidRDefault="0051191B" w:rsidP="0051191B">
      <w:pPr>
        <w:shd w:val="clear" w:color="auto" w:fill="FFFFFF"/>
        <w:spacing w:after="0" w:line="240" w:lineRule="auto"/>
        <w:ind w:firstLine="567"/>
        <w:jc w:val="both"/>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95 % середньоквадратичних значень складника зворотної послідовності напруги електропостачання, усереднених на 10-хвилинному проміжку, для мереж низької напруги мають бути в межах від 0 % до 2 % від складника напруги прямої послідовності.</w:t>
      </w:r>
    </w:p>
    <w:p w:rsidR="0051191B" w:rsidRPr="0051191B" w:rsidRDefault="0051191B" w:rsidP="0051191B">
      <w:pPr>
        <w:shd w:val="clear" w:color="auto" w:fill="FFFFFF"/>
        <w:spacing w:after="0" w:line="240" w:lineRule="auto"/>
        <w:ind w:firstLine="567"/>
        <w:jc w:val="both"/>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95 % середньоквадратичних значень напруги кожної гармоніки, усереднених на 10-хвилинному проміжку, для мереж низької напруги мають бути меншими або рівними наступним значенням:</w:t>
      </w:r>
    </w:p>
    <w:tbl>
      <w:tblPr>
        <w:tblW w:w="5000" w:type="pct"/>
        <w:tblCellMar>
          <w:left w:w="0" w:type="dxa"/>
          <w:right w:w="0" w:type="dxa"/>
        </w:tblCellMar>
        <w:tblLook w:val="00A0" w:firstRow="1" w:lastRow="0" w:firstColumn="1" w:lastColumn="0" w:noHBand="0" w:noVBand="0"/>
      </w:tblPr>
      <w:tblGrid>
        <w:gridCol w:w="1457"/>
        <w:gridCol w:w="1652"/>
        <w:gridCol w:w="1456"/>
        <w:gridCol w:w="1943"/>
        <w:gridCol w:w="1458"/>
        <w:gridCol w:w="1652"/>
      </w:tblGrid>
      <w:tr w:rsidR="0051191B" w:rsidRPr="0051191B" w:rsidTr="00D81B09">
        <w:trPr>
          <w:trHeight w:val="284"/>
        </w:trPr>
        <w:tc>
          <w:tcPr>
            <w:tcW w:w="3383" w:type="pct"/>
            <w:gridSpan w:val="4"/>
            <w:tcBorders>
              <w:top w:val="single" w:sz="8" w:space="0" w:color="000000"/>
              <w:left w:val="single" w:sz="8" w:space="0" w:color="000000"/>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bookmarkStart w:id="0" w:name="n1363"/>
            <w:bookmarkEnd w:id="0"/>
            <w:r w:rsidRPr="0051191B">
              <w:rPr>
                <w:rFonts w:ascii="Times New Roman" w:hAnsi="Times New Roman" w:cs="Times New Roman"/>
                <w:sz w:val="20"/>
                <w:szCs w:val="20"/>
                <w:lang w:val="uk-UA"/>
              </w:rPr>
              <w:t>Непарні гармоніки</w:t>
            </w:r>
          </w:p>
        </w:tc>
        <w:tc>
          <w:tcPr>
            <w:tcW w:w="1617" w:type="pct"/>
            <w:gridSpan w:val="2"/>
            <w:vMerge w:val="restart"/>
            <w:tcBorders>
              <w:top w:val="single" w:sz="8" w:space="0" w:color="000000"/>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Парні гармоніки</w:t>
            </w:r>
          </w:p>
        </w:tc>
      </w:tr>
      <w:tr w:rsidR="0051191B" w:rsidRPr="0051191B" w:rsidTr="00D81B09">
        <w:trPr>
          <w:trHeight w:val="284"/>
        </w:trPr>
        <w:tc>
          <w:tcPr>
            <w:tcW w:w="1616" w:type="pct"/>
            <w:gridSpan w:val="2"/>
            <w:tcBorders>
              <w:top w:val="nil"/>
              <w:left w:val="single" w:sz="8" w:space="0" w:color="000000"/>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не кратні 3</w:t>
            </w:r>
          </w:p>
        </w:tc>
        <w:tc>
          <w:tcPr>
            <w:tcW w:w="1767" w:type="pct"/>
            <w:gridSpan w:val="2"/>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кратні 3</w:t>
            </w:r>
          </w:p>
        </w:tc>
        <w:tc>
          <w:tcPr>
            <w:tcW w:w="0" w:type="auto"/>
            <w:gridSpan w:val="2"/>
            <w:vMerge/>
            <w:tcBorders>
              <w:top w:val="single" w:sz="8" w:space="0" w:color="000000"/>
              <w:left w:val="nil"/>
              <w:bottom w:val="single" w:sz="8" w:space="0" w:color="000000"/>
              <w:right w:val="single" w:sz="8" w:space="0" w:color="000000"/>
            </w:tcBorders>
            <w:shd w:val="clear" w:color="auto" w:fill="FFFFFF"/>
            <w:vAlign w:val="center"/>
          </w:tcPr>
          <w:p w:rsidR="0051191B" w:rsidRPr="0051191B" w:rsidRDefault="0051191B" w:rsidP="00D81B09">
            <w:pPr>
              <w:spacing w:after="0" w:line="240" w:lineRule="auto"/>
              <w:rPr>
                <w:rFonts w:ascii="Times New Roman" w:hAnsi="Times New Roman" w:cs="Times New Roman"/>
                <w:sz w:val="20"/>
                <w:szCs w:val="20"/>
                <w:lang w:val="uk-UA"/>
              </w:rPr>
            </w:pPr>
          </w:p>
        </w:tc>
      </w:tr>
      <w:tr w:rsidR="0051191B" w:rsidRPr="0051191B" w:rsidTr="00D81B09">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порядок</w:t>
            </w:r>
          </w:p>
        </w:tc>
        <w:tc>
          <w:tcPr>
            <w:tcW w:w="8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відносна амплітуда</w:t>
            </w:r>
          </w:p>
        </w:tc>
        <w:tc>
          <w:tcPr>
            <w:tcW w:w="757"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порядок</w:t>
            </w:r>
          </w:p>
        </w:tc>
        <w:tc>
          <w:tcPr>
            <w:tcW w:w="1010"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відносна амплітуда</w:t>
            </w:r>
          </w:p>
        </w:tc>
        <w:tc>
          <w:tcPr>
            <w:tcW w:w="7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порядок</w:t>
            </w:r>
          </w:p>
        </w:tc>
        <w:tc>
          <w:tcPr>
            <w:tcW w:w="859"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відносна амплітуда</w:t>
            </w:r>
          </w:p>
        </w:tc>
      </w:tr>
      <w:tr w:rsidR="0051191B" w:rsidRPr="0051191B" w:rsidTr="00D81B09">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5</w:t>
            </w:r>
          </w:p>
        </w:tc>
        <w:tc>
          <w:tcPr>
            <w:tcW w:w="8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6,0 %</w:t>
            </w:r>
          </w:p>
        </w:tc>
        <w:tc>
          <w:tcPr>
            <w:tcW w:w="757"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3</w:t>
            </w:r>
          </w:p>
        </w:tc>
        <w:tc>
          <w:tcPr>
            <w:tcW w:w="1010"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5,0 %</w:t>
            </w:r>
          </w:p>
        </w:tc>
        <w:tc>
          <w:tcPr>
            <w:tcW w:w="7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2</w:t>
            </w:r>
          </w:p>
        </w:tc>
        <w:tc>
          <w:tcPr>
            <w:tcW w:w="859"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2,0 %</w:t>
            </w:r>
          </w:p>
        </w:tc>
      </w:tr>
      <w:tr w:rsidR="0051191B" w:rsidRPr="0051191B" w:rsidTr="00D81B09">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7</w:t>
            </w:r>
          </w:p>
        </w:tc>
        <w:tc>
          <w:tcPr>
            <w:tcW w:w="8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5,0 %</w:t>
            </w:r>
          </w:p>
        </w:tc>
        <w:tc>
          <w:tcPr>
            <w:tcW w:w="757"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9</w:t>
            </w:r>
          </w:p>
        </w:tc>
        <w:tc>
          <w:tcPr>
            <w:tcW w:w="1010"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1,5 %</w:t>
            </w:r>
          </w:p>
        </w:tc>
        <w:tc>
          <w:tcPr>
            <w:tcW w:w="7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4</w:t>
            </w:r>
          </w:p>
        </w:tc>
        <w:tc>
          <w:tcPr>
            <w:tcW w:w="859"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1,0 %</w:t>
            </w:r>
          </w:p>
        </w:tc>
      </w:tr>
      <w:tr w:rsidR="0051191B" w:rsidRPr="0051191B" w:rsidTr="00D81B09">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11</w:t>
            </w:r>
          </w:p>
        </w:tc>
        <w:tc>
          <w:tcPr>
            <w:tcW w:w="8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3,5 %</w:t>
            </w:r>
          </w:p>
        </w:tc>
        <w:tc>
          <w:tcPr>
            <w:tcW w:w="757"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15</w:t>
            </w:r>
          </w:p>
        </w:tc>
        <w:tc>
          <w:tcPr>
            <w:tcW w:w="1010"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1,5 %</w:t>
            </w:r>
          </w:p>
        </w:tc>
        <w:tc>
          <w:tcPr>
            <w:tcW w:w="7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6…24</w:t>
            </w:r>
          </w:p>
        </w:tc>
        <w:tc>
          <w:tcPr>
            <w:tcW w:w="859"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0,5 %</w:t>
            </w:r>
          </w:p>
        </w:tc>
      </w:tr>
      <w:tr w:rsidR="0051191B" w:rsidRPr="0051191B" w:rsidTr="00D81B09">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13</w:t>
            </w:r>
          </w:p>
        </w:tc>
        <w:tc>
          <w:tcPr>
            <w:tcW w:w="8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3,0 %</w:t>
            </w:r>
          </w:p>
        </w:tc>
        <w:tc>
          <w:tcPr>
            <w:tcW w:w="757"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21</w:t>
            </w:r>
          </w:p>
        </w:tc>
        <w:tc>
          <w:tcPr>
            <w:tcW w:w="1010"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0,5 %</w:t>
            </w:r>
          </w:p>
        </w:tc>
        <w:tc>
          <w:tcPr>
            <w:tcW w:w="7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c>
          <w:tcPr>
            <w:tcW w:w="859"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r>
      <w:tr w:rsidR="0051191B" w:rsidRPr="0051191B" w:rsidTr="00D81B09">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17</w:t>
            </w:r>
          </w:p>
        </w:tc>
        <w:tc>
          <w:tcPr>
            <w:tcW w:w="8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2,0 %</w:t>
            </w:r>
          </w:p>
        </w:tc>
        <w:tc>
          <w:tcPr>
            <w:tcW w:w="757"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c>
          <w:tcPr>
            <w:tcW w:w="1010"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c>
          <w:tcPr>
            <w:tcW w:w="7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c>
          <w:tcPr>
            <w:tcW w:w="859"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r>
      <w:tr w:rsidR="0051191B" w:rsidRPr="0051191B" w:rsidTr="00D81B09">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19</w:t>
            </w:r>
          </w:p>
        </w:tc>
        <w:tc>
          <w:tcPr>
            <w:tcW w:w="8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1,5 %</w:t>
            </w:r>
          </w:p>
        </w:tc>
        <w:tc>
          <w:tcPr>
            <w:tcW w:w="757"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c>
          <w:tcPr>
            <w:tcW w:w="1010"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c>
          <w:tcPr>
            <w:tcW w:w="7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c>
          <w:tcPr>
            <w:tcW w:w="859"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r>
      <w:tr w:rsidR="0051191B" w:rsidRPr="0051191B" w:rsidTr="00D81B09">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23</w:t>
            </w:r>
          </w:p>
        </w:tc>
        <w:tc>
          <w:tcPr>
            <w:tcW w:w="8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1,5 %</w:t>
            </w:r>
          </w:p>
        </w:tc>
        <w:tc>
          <w:tcPr>
            <w:tcW w:w="757"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c>
          <w:tcPr>
            <w:tcW w:w="1010"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c>
          <w:tcPr>
            <w:tcW w:w="7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c>
          <w:tcPr>
            <w:tcW w:w="859"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r>
      <w:tr w:rsidR="0051191B" w:rsidRPr="0051191B" w:rsidTr="00D81B09">
        <w:trPr>
          <w:trHeight w:val="284"/>
        </w:trPr>
        <w:tc>
          <w:tcPr>
            <w:tcW w:w="757" w:type="pct"/>
            <w:tcBorders>
              <w:top w:val="nil"/>
              <w:left w:val="single" w:sz="8" w:space="0" w:color="000000"/>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25</w:t>
            </w:r>
          </w:p>
        </w:tc>
        <w:tc>
          <w:tcPr>
            <w:tcW w:w="8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center"/>
              <w:textAlignment w:val="baseline"/>
              <w:rPr>
                <w:rFonts w:ascii="Times New Roman" w:hAnsi="Times New Roman" w:cs="Times New Roman"/>
                <w:sz w:val="20"/>
                <w:szCs w:val="20"/>
                <w:lang w:val="uk-UA"/>
              </w:rPr>
            </w:pPr>
            <w:r w:rsidRPr="0051191B">
              <w:rPr>
                <w:rFonts w:ascii="Times New Roman" w:hAnsi="Times New Roman" w:cs="Times New Roman"/>
                <w:sz w:val="20"/>
                <w:szCs w:val="20"/>
                <w:lang w:val="uk-UA"/>
              </w:rPr>
              <w:t>1,5 %</w:t>
            </w:r>
          </w:p>
        </w:tc>
        <w:tc>
          <w:tcPr>
            <w:tcW w:w="757"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c>
          <w:tcPr>
            <w:tcW w:w="1010"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c>
          <w:tcPr>
            <w:tcW w:w="758"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c>
          <w:tcPr>
            <w:tcW w:w="859" w:type="pct"/>
            <w:tcBorders>
              <w:top w:val="nil"/>
              <w:left w:val="nil"/>
              <w:bottom w:val="single" w:sz="8" w:space="0" w:color="000000"/>
              <w:right w:val="single" w:sz="8" w:space="0" w:color="000000"/>
            </w:tcBorders>
            <w:shd w:val="clear" w:color="auto" w:fill="FFFFFF"/>
          </w:tcPr>
          <w:p w:rsidR="0051191B" w:rsidRPr="0051191B" w:rsidRDefault="0051191B" w:rsidP="00D81B09">
            <w:pPr>
              <w:spacing w:after="0" w:line="240" w:lineRule="auto"/>
              <w:jc w:val="both"/>
              <w:rPr>
                <w:rFonts w:ascii="Times New Roman" w:hAnsi="Times New Roman" w:cs="Times New Roman"/>
                <w:sz w:val="20"/>
                <w:szCs w:val="20"/>
                <w:lang w:val="uk-UA"/>
              </w:rPr>
            </w:pPr>
          </w:p>
        </w:tc>
      </w:tr>
    </w:tbl>
    <w:p w:rsidR="0051191B" w:rsidRPr="0051191B" w:rsidRDefault="0051191B" w:rsidP="0051191B">
      <w:pPr>
        <w:spacing w:after="0" w:line="240" w:lineRule="auto"/>
        <w:jc w:val="both"/>
        <w:rPr>
          <w:rFonts w:ascii="Times New Roman" w:hAnsi="Times New Roman" w:cs="Times New Roman"/>
          <w:sz w:val="20"/>
          <w:szCs w:val="20"/>
          <w:lang w:val="uk-UA" w:eastAsia="uk-UA"/>
        </w:rPr>
      </w:pPr>
      <w:bookmarkStart w:id="1" w:name="_GoBack"/>
      <w:bookmarkEnd w:id="1"/>
      <w:r w:rsidRPr="0051191B">
        <w:rPr>
          <w:rFonts w:ascii="Times New Roman" w:hAnsi="Times New Roman" w:cs="Times New Roman"/>
          <w:sz w:val="20"/>
          <w:szCs w:val="20"/>
          <w:lang w:val="uk-UA" w:eastAsia="uk-UA"/>
        </w:rPr>
        <w:lastRenderedPageBreak/>
        <w:t>Замовник (Споживач) має право на отримання компенсації за недотримання показників комерційної якості поставленого товару (електричної енергії) Постачальником. Постачальник зобов’язується надавати компенсацію Замовнику (Споживачу) за недотримання показників комерційної якості поставленого товару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51191B" w:rsidRPr="0051191B" w:rsidRDefault="0051191B" w:rsidP="0051191B">
      <w:pPr>
        <w:spacing w:after="0" w:line="240" w:lineRule="auto"/>
        <w:jc w:val="both"/>
        <w:rPr>
          <w:rFonts w:ascii="Times New Roman" w:hAnsi="Times New Roman" w:cs="Times New Roman"/>
          <w:sz w:val="20"/>
          <w:szCs w:val="20"/>
          <w:lang w:val="uk-UA" w:eastAsia="uk-UA"/>
        </w:rPr>
      </w:pPr>
    </w:p>
    <w:p w:rsidR="0051191B" w:rsidRPr="0051191B" w:rsidRDefault="0051191B" w:rsidP="0051191B">
      <w:pPr>
        <w:spacing w:after="0" w:line="240" w:lineRule="auto"/>
        <w:jc w:val="both"/>
        <w:rPr>
          <w:rFonts w:ascii="Times New Roman" w:hAnsi="Times New Roman" w:cs="Times New Roman"/>
          <w:sz w:val="20"/>
          <w:szCs w:val="20"/>
          <w:lang w:val="uk-UA"/>
        </w:rPr>
      </w:pPr>
      <w:r w:rsidRPr="0051191B">
        <w:rPr>
          <w:rFonts w:ascii="Times New Roman" w:hAnsi="Times New Roman" w:cs="Times New Roman"/>
          <w:sz w:val="20"/>
          <w:szCs w:val="20"/>
          <w:shd w:val="clear" w:color="auto" w:fill="FFFFFF"/>
          <w:lang w:val="uk-UA" w:eastAsia="uk-UA"/>
        </w:rPr>
        <w:t>Замовник належить до групи площадок вимірювання «б» (без АСКОЕ). П</w:t>
      </w:r>
      <w:r w:rsidRPr="0051191B">
        <w:rPr>
          <w:rFonts w:ascii="Times New Roman" w:hAnsi="Times New Roman" w:cs="Times New Roman"/>
          <w:sz w:val="20"/>
          <w:szCs w:val="20"/>
          <w:lang w:val="uk-UA"/>
        </w:rPr>
        <w:t>огодинний графік споживання електричної енергії за місяць Споживач надає Постачальнику електричної енергії під час укладання договору про закупівлю;  Вартість розподілу ОСР не враховано до очікуваної вартості закупівлі - оплата за послугу з розподілу здійснюється Замовником безпосередньо оператору системи розподілу. Оператором системи розподілу Замовника є СТРУКТУРНА ОДИНИЦЯ "ВІННИЦЬКІ МІСЬКІ ЕЛЕКТРИЧНІ МЕРЕЖІ" АКЦІОНЕРНОГО ТОВАРИСТВА "ВІННИЦЯОБЛЕНЕРГО".</w:t>
      </w:r>
    </w:p>
    <w:p w:rsidR="0051191B" w:rsidRPr="0051191B" w:rsidRDefault="0051191B" w:rsidP="0051191B">
      <w:pPr>
        <w:spacing w:after="0" w:line="240" w:lineRule="auto"/>
        <w:jc w:val="both"/>
        <w:rPr>
          <w:rFonts w:ascii="Times New Roman" w:hAnsi="Times New Roman" w:cs="Times New Roman"/>
          <w:sz w:val="20"/>
          <w:szCs w:val="20"/>
          <w:lang w:val="uk-UA" w:eastAsia="uk-UA"/>
        </w:rPr>
      </w:pPr>
    </w:p>
    <w:p w:rsidR="0051191B" w:rsidRPr="0051191B" w:rsidRDefault="0051191B" w:rsidP="0051191B">
      <w:pPr>
        <w:spacing w:after="0" w:line="240" w:lineRule="auto"/>
        <w:jc w:val="both"/>
        <w:rPr>
          <w:rFonts w:ascii="Times New Roman" w:eastAsia="Arial" w:hAnsi="Times New Roman" w:cs="Times New Roman"/>
          <w:sz w:val="20"/>
          <w:szCs w:val="20"/>
          <w:lang w:val="uk-UA"/>
        </w:rPr>
      </w:pPr>
      <w:r w:rsidRPr="0051191B">
        <w:rPr>
          <w:rFonts w:ascii="Times New Roman" w:eastAsia="Arial" w:hAnsi="Times New Roman" w:cs="Times New Roman"/>
          <w:sz w:val="20"/>
          <w:szCs w:val="20"/>
          <w:lang w:val="uk-UA"/>
        </w:rPr>
        <w:t>У складі пропозиції учасник надає оригінал або копію сертифікату відповідності вимогам ДСТУ ISO 50001:2020 (ISO 50001:2018) «Системи енергетичного менеджменту. Вимоги та настанова щодо використання», який видано на ім‘я учасника закупівлі</w:t>
      </w:r>
      <w:r w:rsidRPr="0051191B">
        <w:rPr>
          <w:rFonts w:ascii="Times New Roman" w:hAnsi="Times New Roman" w:cs="Times New Roman"/>
          <w:sz w:val="20"/>
          <w:szCs w:val="20"/>
          <w:lang w:val="uk-UA"/>
        </w:rPr>
        <w:t xml:space="preserve"> органом сертифікації, включеним до реєстру акредитованих органів оцінки відповідності Національного агентства з акредитації України.</w:t>
      </w:r>
      <w:r w:rsidRPr="0051191B">
        <w:rPr>
          <w:rFonts w:ascii="Times New Roman" w:eastAsia="Arial" w:hAnsi="Times New Roman" w:cs="Times New Roman"/>
          <w:sz w:val="20"/>
          <w:szCs w:val="20"/>
          <w:lang w:val="uk-UA"/>
        </w:rPr>
        <w:t xml:space="preserve"> Надані документи повинні відповідати предмету закупівлі та засвідчувати використання учасником відповідної системи менеджменту. Якщо дата видачі сертифікату більша ніж 12 місяців від дати подання пропозиції, додатково надається звіт за результатами наглядового аудиту, який видано органом, що здійснював аудит і сертифікацію.</w:t>
      </w:r>
    </w:p>
    <w:p w:rsidR="0051191B" w:rsidRPr="0051191B" w:rsidRDefault="0051191B" w:rsidP="0051191B">
      <w:pPr>
        <w:spacing w:after="0" w:line="240" w:lineRule="auto"/>
        <w:jc w:val="both"/>
        <w:rPr>
          <w:rFonts w:ascii="Times New Roman" w:hAnsi="Times New Roman" w:cs="Times New Roman"/>
          <w:sz w:val="20"/>
          <w:szCs w:val="20"/>
          <w:lang w:val="uk-UA"/>
        </w:rPr>
      </w:pPr>
      <w:r w:rsidRPr="0051191B">
        <w:rPr>
          <w:rFonts w:ascii="Times New Roman" w:hAnsi="Times New Roman" w:cs="Times New Roman"/>
          <w:sz w:val="20"/>
          <w:szCs w:val="20"/>
          <w:lang w:val="uk-UA"/>
        </w:rPr>
        <w:t xml:space="preserve">Оригінал </w:t>
      </w:r>
      <w:r w:rsidRPr="0051191B">
        <w:rPr>
          <w:rFonts w:ascii="Times New Roman" w:eastAsia="Arial" w:hAnsi="Times New Roman" w:cs="Times New Roman"/>
          <w:sz w:val="20"/>
          <w:szCs w:val="20"/>
          <w:lang w:val="uk-UA"/>
        </w:rPr>
        <w:t>або копію</w:t>
      </w:r>
      <w:r w:rsidRPr="0051191B">
        <w:rPr>
          <w:rFonts w:ascii="Times New Roman" w:hAnsi="Times New Roman" w:cs="Times New Roman"/>
          <w:sz w:val="20"/>
          <w:szCs w:val="20"/>
          <w:lang w:val="uk-UA"/>
        </w:rPr>
        <w:t xml:space="preserve"> чинного на дату розкриття тендерних пропозицій сертифікату на систему управління якістю, виданого учаснику органом сертифікації (або органом з оцінки відповідності), про відповідність системи управління безпекою ланцюга постачання учасника стосовно торгівлі електроенергією вимогам ДСТУ ISO 28001:2009 (ISO 28001:2007, IDT).</w:t>
      </w:r>
    </w:p>
    <w:p w:rsidR="0051191B" w:rsidRPr="0051191B" w:rsidRDefault="0051191B" w:rsidP="0051191B">
      <w:pPr>
        <w:spacing w:after="0" w:line="240" w:lineRule="auto"/>
        <w:jc w:val="both"/>
        <w:rPr>
          <w:rFonts w:ascii="Times New Roman" w:hAnsi="Times New Roman" w:cs="Times New Roman"/>
          <w:sz w:val="20"/>
          <w:szCs w:val="20"/>
          <w:lang w:val="uk-UA"/>
        </w:rPr>
      </w:pPr>
    </w:p>
    <w:p w:rsidR="0051191B" w:rsidRPr="0051191B" w:rsidRDefault="0051191B" w:rsidP="0051191B">
      <w:pPr>
        <w:widowControl w:val="0"/>
        <w:shd w:val="clear" w:color="auto" w:fill="FFFFFF"/>
        <w:suppressAutoHyphens/>
        <w:autoSpaceDE w:val="0"/>
        <w:spacing w:after="0" w:line="240" w:lineRule="auto"/>
        <w:jc w:val="both"/>
        <w:rPr>
          <w:rFonts w:ascii="Times New Roman" w:hAnsi="Times New Roman" w:cs="Times New Roman"/>
          <w:color w:val="0D0D0D"/>
          <w:sz w:val="20"/>
          <w:szCs w:val="20"/>
          <w:lang w:val="uk-UA" w:eastAsia="uk-UA"/>
        </w:rPr>
      </w:pPr>
      <w:r w:rsidRPr="0051191B">
        <w:rPr>
          <w:rFonts w:ascii="Times New Roman" w:hAnsi="Times New Roman" w:cs="Times New Roman"/>
          <w:color w:val="0D0D0D"/>
          <w:sz w:val="20"/>
          <w:szCs w:val="20"/>
          <w:lang w:val="uk-UA"/>
        </w:rPr>
        <w:t>Копію сертифікату учасника на систему енергетичного менеджменту згідно вимог стандарту ДСТУ ISO 50001:2020 (ISO 50001:2018, IDT) «Системи енергетичного менеджменту.  Вимоги та настанова щодо використання» з урахуванням вимог ДСТУ ISO 50007:2020 (ISO 50007:2017, IDT) «Настанова щодо оцінювання та поліпшення енергетичних послуг для споживачів», чинного на дату розкриття тендерних пропозицій. Сертифікат повинний бути виданий Учаснику органом стандартизації, метрології та сертифікації або іншим органом по сертифікації (органом з оцінки відповідності). Копія звіту про аудит, що підтверджує проведення аудиту, складеного акредитованим НААУ органом стандартизації, метрології та сертифікації або іншим акредитованим НААУ органом по сертифікації (органом з оцінки відповідності),  якщо дата реєстрації сертифікату  на систему</w:t>
      </w:r>
      <w:r w:rsidRPr="0051191B">
        <w:rPr>
          <w:rFonts w:ascii="Times New Roman" w:hAnsi="Times New Roman" w:cs="Times New Roman"/>
          <w:color w:val="0D0D0D"/>
          <w:sz w:val="20"/>
          <w:szCs w:val="20"/>
          <w:lang w:val="uk-UA" w:eastAsia="uk-UA"/>
        </w:rPr>
        <w:t> енергетичного менеджменту згідно вимог стандарту ДСТУ ISO 50001:2020 (ISO 50001:2018, IDT) «Системи енергетичного менеджменту.  Вимоги та настанова щодо використання» з урахуванням вимог ДСТУ ISO 50007:2020 (ISO 50007:2017, IDT) «Настанова щодо оцінювання та поліпшення енергетичних послуг для споживачів»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акредитованому НААУ органі стандартизації, метрології та сертифікації або іншому  акредитованому НААУ органі по сертифікації (органі з оцінки відповідності) не пізніше, ніж за один рік від дати розкриття тендерних пропозицій (якщо дата реєстрації сертифікату ДСТУ ISO 50001:2020 (ISO 50001:2018, IDT) «Системи енергетичного менеджменту.  Вимоги та настанова щодо використання» з урахуванням вимог ДСТУ ISO 50007:2020 (ISO 50007:2017, IDT) «Настанова щодо оцінювання та поліпшення енергетичних послуг для споживачів»)  пізніше, ніж один рік від дати складання звіту). Сертифікат внутрішнього аудитора, виданий працівнику Учасника на підставі проходження навчання по програмі «Внутрішній аудит систем менеджменту» згідно до вимог ДСТУ ISO 19011:2019 (ISO 19011:2018, IDT), який підтверджує компетентність здійснення внутрішнього аудиту щодо ДСТУ ISO 50001:2020 (ISO 50001:2018, IDT), та вимог положень ДСТУ ISO 50007:2020 (ISO 50007:2017, IDT).</w:t>
      </w:r>
    </w:p>
    <w:p w:rsidR="0051191B" w:rsidRPr="0051191B" w:rsidRDefault="0051191B" w:rsidP="0051191B">
      <w:pPr>
        <w:spacing w:after="0" w:line="240" w:lineRule="auto"/>
        <w:rPr>
          <w:rFonts w:ascii="Times New Roman" w:hAnsi="Times New Roman" w:cs="Times New Roman"/>
          <w:sz w:val="20"/>
          <w:szCs w:val="20"/>
          <w:lang w:val="uk-UA"/>
        </w:rPr>
      </w:pPr>
    </w:p>
    <w:p w:rsidR="0051191B" w:rsidRPr="0051191B" w:rsidRDefault="0051191B" w:rsidP="0051191B">
      <w:pPr>
        <w:spacing w:after="0" w:line="240" w:lineRule="auto"/>
        <w:jc w:val="both"/>
        <w:rPr>
          <w:rFonts w:ascii="Times New Roman" w:hAnsi="Times New Roman" w:cs="Times New Roman"/>
          <w:sz w:val="20"/>
          <w:szCs w:val="20"/>
          <w:shd w:val="clear" w:color="auto" w:fill="FFFFFF"/>
          <w:lang w:val="uk-UA"/>
        </w:rPr>
      </w:pPr>
      <w:r w:rsidRPr="0051191B">
        <w:rPr>
          <w:rFonts w:ascii="Times New Roman" w:hAnsi="Times New Roman" w:cs="Times New Roman"/>
          <w:sz w:val="20"/>
          <w:szCs w:val="20"/>
          <w:shd w:val="clear" w:color="auto" w:fill="FFFFFF"/>
          <w:lang w:val="uk-UA"/>
        </w:rPr>
        <w:t xml:space="preserve">В складі пропозиції Учасник подає лист-гарантію, складену в довільній формі, за підписом уповноваженої особи учасника та завірену печаткою (за наявності),  щодо дотримання учасником в своїй діяльності Закону України «Про санкції», </w:t>
      </w:r>
      <w:r w:rsidRPr="0051191B">
        <w:rPr>
          <w:rFonts w:ascii="Times New Roman" w:hAnsi="Times New Roman" w:cs="Times New Roman"/>
          <w:sz w:val="20"/>
          <w:szCs w:val="20"/>
          <w:shd w:val="clear" w:color="auto" w:fill="FFFFFF"/>
          <w:lang w:val="uk-UA" w:eastAsia="uk-UA"/>
        </w:rPr>
        <w:t xml:space="preserve">Указу Президента України від 02 квітня 2021 року № 140/2021 </w:t>
      </w:r>
      <w:r w:rsidRPr="0051191B">
        <w:rPr>
          <w:rFonts w:ascii="Times New Roman" w:hAnsi="Times New Roman" w:cs="Times New Roman"/>
          <w:sz w:val="20"/>
          <w:szCs w:val="20"/>
          <w:lang w:val="uk-UA" w:eastAsia="uk-UA"/>
        </w:rPr>
        <w:t>«</w:t>
      </w:r>
      <w:r w:rsidRPr="0051191B">
        <w:rPr>
          <w:rFonts w:ascii="Times New Roman" w:hAnsi="Times New Roman" w:cs="Times New Roman"/>
          <w:bCs/>
          <w:sz w:val="20"/>
          <w:szCs w:val="20"/>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51191B">
        <w:rPr>
          <w:rFonts w:ascii="Times New Roman" w:hAnsi="Times New Roman" w:cs="Times New Roman"/>
          <w:bCs/>
          <w:sz w:val="20"/>
          <w:szCs w:val="20"/>
          <w:shd w:val="clear" w:color="auto" w:fill="FFFFFF"/>
          <w:lang w:val="uk-UA"/>
        </w:rPr>
        <w:t>,</w:t>
      </w:r>
      <w:r w:rsidRPr="0051191B">
        <w:rPr>
          <w:rFonts w:ascii="Times New Roman" w:hAnsi="Times New Roman" w:cs="Times New Roman"/>
          <w:sz w:val="20"/>
          <w:szCs w:val="20"/>
          <w:shd w:val="clear" w:color="auto" w:fill="FFFFFF"/>
          <w:lang w:val="uk-UA"/>
        </w:rPr>
        <w:t>а також про те, що запропонований товар не буде поставлятись з Республіки Білорусь та країни–агресора (зокрема з Російської Федерації).</w:t>
      </w:r>
    </w:p>
    <w:p w:rsidR="0051191B" w:rsidRPr="0051191B" w:rsidRDefault="0051191B" w:rsidP="0051191B">
      <w:pPr>
        <w:spacing w:after="0" w:line="240" w:lineRule="auto"/>
        <w:rPr>
          <w:rFonts w:ascii="Times New Roman" w:hAnsi="Times New Roman" w:cs="Times New Roman"/>
          <w:sz w:val="20"/>
          <w:szCs w:val="20"/>
          <w:shd w:val="clear" w:color="auto" w:fill="FFFFFF"/>
          <w:lang w:val="uk-UA"/>
        </w:rPr>
      </w:pPr>
    </w:p>
    <w:p w:rsidR="0051191B" w:rsidRPr="0051191B" w:rsidRDefault="0051191B" w:rsidP="0051191B">
      <w:pPr>
        <w:spacing w:after="0" w:line="240" w:lineRule="auto"/>
        <w:jc w:val="both"/>
        <w:rPr>
          <w:rFonts w:ascii="Times New Roman" w:hAnsi="Times New Roman" w:cs="Times New Roman"/>
          <w:i/>
          <w:sz w:val="20"/>
          <w:szCs w:val="20"/>
          <w:lang w:val="uk-UA"/>
        </w:rPr>
      </w:pPr>
      <w:r w:rsidRPr="0051191B">
        <w:rPr>
          <w:rFonts w:ascii="Times New Roman" w:hAnsi="Times New Roman" w:cs="Times New Roman"/>
          <w:i/>
          <w:sz w:val="20"/>
          <w:szCs w:val="20"/>
          <w:lang w:val="uk-UA"/>
        </w:rPr>
        <w:t>*всі посилання на торговельну марку, фірму, патент, джерело його походження або виробника в технічному завданні слід читати як «або еквівалент»</w:t>
      </w:r>
    </w:p>
    <w:p w:rsidR="00424AC0" w:rsidRPr="0051191B" w:rsidRDefault="00424AC0">
      <w:pPr>
        <w:rPr>
          <w:lang w:val="uk-UA"/>
        </w:rPr>
      </w:pPr>
    </w:p>
    <w:sectPr w:rsidR="00424AC0" w:rsidRPr="0051191B" w:rsidSect="005E4837">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50"/>
    <w:rsid w:val="00424AC0"/>
    <w:rsid w:val="0051191B"/>
    <w:rsid w:val="005E4837"/>
    <w:rsid w:val="00D81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628C"/>
  <w15:chartTrackingRefBased/>
  <w15:docId w15:val="{4EEDC938-24BD-4FC9-A55A-2D17F2C0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4"/>
    <w:uiPriority w:val="99"/>
    <w:qFormat/>
    <w:rsid w:val="0051191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 Знак1"/>
    <w:link w:val="a3"/>
    <w:uiPriority w:val="99"/>
    <w:rsid w:val="0051191B"/>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3.rada.gov.ua/laws/show/v0310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Солоний Олексій Володимирович</dc:creator>
  <cp:keywords/>
  <dc:description/>
  <cp:lastModifiedBy>Солоний Олексій Володимирович</cp:lastModifiedBy>
  <cp:revision>3</cp:revision>
  <dcterms:created xsi:type="dcterms:W3CDTF">2024-01-18T13:32:00Z</dcterms:created>
  <dcterms:modified xsi:type="dcterms:W3CDTF">2024-01-18T13:33:00Z</dcterms:modified>
</cp:coreProperties>
</file>