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6D" w:rsidRPr="00044201" w:rsidRDefault="006B4A9F" w:rsidP="005346A5">
      <w:pPr>
        <w:spacing w:after="0" w:line="240" w:lineRule="auto"/>
        <w:ind w:left="5660" w:firstLine="700"/>
        <w:jc w:val="right"/>
        <w:rPr>
          <w:rFonts w:ascii="Times New Roman" w:eastAsia="Times New Roman" w:hAnsi="Times New Roman" w:cs="Times New Roman"/>
          <w:sz w:val="20"/>
          <w:szCs w:val="20"/>
          <w:lang w:val="uk-UA"/>
        </w:rPr>
      </w:pPr>
      <w:r w:rsidRPr="00044201">
        <w:rPr>
          <w:rFonts w:ascii="Times New Roman" w:eastAsia="Times New Roman" w:hAnsi="Times New Roman" w:cs="Times New Roman"/>
          <w:b/>
          <w:sz w:val="20"/>
          <w:szCs w:val="20"/>
          <w:lang w:val="uk-UA"/>
        </w:rPr>
        <w:t xml:space="preserve">ДОДАТОК </w:t>
      </w:r>
      <w:r w:rsidR="008776F0" w:rsidRPr="00044201">
        <w:rPr>
          <w:rFonts w:ascii="Times New Roman" w:eastAsia="Times New Roman" w:hAnsi="Times New Roman" w:cs="Times New Roman"/>
          <w:b/>
          <w:sz w:val="20"/>
          <w:szCs w:val="20"/>
          <w:lang w:val="uk-UA"/>
        </w:rPr>
        <w:t>№</w:t>
      </w:r>
      <w:r w:rsidRPr="00044201">
        <w:rPr>
          <w:rFonts w:ascii="Times New Roman" w:eastAsia="Times New Roman" w:hAnsi="Times New Roman" w:cs="Times New Roman"/>
          <w:b/>
          <w:sz w:val="20"/>
          <w:szCs w:val="20"/>
          <w:lang w:val="uk-UA"/>
        </w:rPr>
        <w:t>1</w:t>
      </w:r>
    </w:p>
    <w:p w:rsidR="00F0336D" w:rsidRPr="00044201" w:rsidRDefault="006B4A9F" w:rsidP="005346A5">
      <w:pPr>
        <w:spacing w:after="0" w:line="240" w:lineRule="auto"/>
        <w:ind w:left="5660" w:firstLine="700"/>
        <w:jc w:val="right"/>
        <w:rPr>
          <w:rFonts w:ascii="Times New Roman" w:eastAsia="Times New Roman" w:hAnsi="Times New Roman" w:cs="Times New Roman"/>
          <w:sz w:val="20"/>
          <w:szCs w:val="20"/>
          <w:lang w:val="uk-UA"/>
        </w:rPr>
      </w:pPr>
      <w:r w:rsidRPr="00044201">
        <w:rPr>
          <w:rFonts w:ascii="Times New Roman" w:eastAsia="Times New Roman" w:hAnsi="Times New Roman" w:cs="Times New Roman"/>
          <w:i/>
          <w:sz w:val="20"/>
          <w:szCs w:val="20"/>
          <w:lang w:val="uk-UA"/>
        </w:rPr>
        <w:t>до тендерної документації</w:t>
      </w:r>
    </w:p>
    <w:p w:rsidR="005346A5" w:rsidRPr="00044201" w:rsidRDefault="005346A5" w:rsidP="005346A5">
      <w:pPr>
        <w:spacing w:after="0" w:line="240" w:lineRule="auto"/>
        <w:ind w:left="5660" w:firstLine="700"/>
        <w:jc w:val="both"/>
        <w:rPr>
          <w:rFonts w:ascii="Times New Roman" w:eastAsia="Times New Roman" w:hAnsi="Times New Roman" w:cs="Times New Roman"/>
          <w:i/>
          <w:sz w:val="20"/>
          <w:szCs w:val="20"/>
          <w:lang w:val="uk-UA"/>
        </w:rPr>
      </w:pPr>
    </w:p>
    <w:p w:rsidR="00F0336D" w:rsidRPr="00044201" w:rsidRDefault="006B4A9F" w:rsidP="005346A5">
      <w:pPr>
        <w:spacing w:after="0" w:line="240" w:lineRule="auto"/>
        <w:ind w:left="5660" w:firstLine="700"/>
        <w:jc w:val="both"/>
        <w:rPr>
          <w:rFonts w:ascii="Times New Roman" w:eastAsia="Times New Roman" w:hAnsi="Times New Roman" w:cs="Times New Roman"/>
          <w:sz w:val="20"/>
          <w:szCs w:val="20"/>
          <w:lang w:val="uk-UA"/>
        </w:rPr>
      </w:pPr>
      <w:r w:rsidRPr="00044201">
        <w:rPr>
          <w:rFonts w:ascii="Times New Roman" w:eastAsia="Times New Roman" w:hAnsi="Times New Roman" w:cs="Times New Roman"/>
          <w:i/>
          <w:sz w:val="20"/>
          <w:szCs w:val="20"/>
          <w:lang w:val="uk-UA"/>
        </w:rPr>
        <w:t> </w:t>
      </w:r>
    </w:p>
    <w:p w:rsidR="00F0336D" w:rsidRPr="00044201" w:rsidRDefault="006B4A9F" w:rsidP="005346A5">
      <w:pPr>
        <w:pStyle w:val="a6"/>
        <w:numPr>
          <w:ilvl w:val="0"/>
          <w:numId w:val="2"/>
        </w:numPr>
        <w:shd w:val="clear" w:color="auto" w:fill="FFFFFF"/>
        <w:spacing w:after="0" w:line="240" w:lineRule="auto"/>
        <w:ind w:left="0" w:firstLine="284"/>
        <w:jc w:val="both"/>
        <w:rPr>
          <w:rFonts w:ascii="Times New Roman" w:eastAsia="Times New Roman" w:hAnsi="Times New Roman" w:cs="Times New Roman"/>
          <w:b/>
          <w:sz w:val="24"/>
          <w:szCs w:val="24"/>
          <w:lang w:val="uk-UA"/>
        </w:rPr>
      </w:pPr>
      <w:r w:rsidRPr="00044201">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5" w:type="dxa"/>
          <w:left w:w="15" w:type="dxa"/>
          <w:bottom w:w="15" w:type="dxa"/>
          <w:right w:w="15" w:type="dxa"/>
        </w:tblCellMar>
        <w:tblLook w:val="04A0" w:firstRow="1" w:lastRow="0" w:firstColumn="1" w:lastColumn="0" w:noHBand="0" w:noVBand="1"/>
      </w:tblPr>
      <w:tblGrid>
        <w:gridCol w:w="845"/>
        <w:gridCol w:w="3684"/>
        <w:gridCol w:w="5376"/>
      </w:tblGrid>
      <w:tr w:rsidR="00044201" w:rsidRPr="00044201" w:rsidTr="00F16FAE">
        <w:trPr>
          <w:trHeight w:val="643"/>
          <w:jc w:val="center"/>
        </w:trPr>
        <w:tc>
          <w:tcPr>
            <w:tcW w:w="0" w:type="auto"/>
            <w:shd w:val="clear" w:color="auto" w:fill="D9D9D9" w:themeFill="background1" w:themeFillShade="D9"/>
            <w:tcMar>
              <w:top w:w="100" w:type="dxa"/>
              <w:left w:w="100" w:type="dxa"/>
              <w:bottom w:w="100" w:type="dxa"/>
              <w:right w:w="100" w:type="dxa"/>
            </w:tcMar>
            <w:vAlign w:val="center"/>
            <w:hideMark/>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 п/</w:t>
            </w:r>
            <w:proofErr w:type="spellStart"/>
            <w:r w:rsidRPr="00044201">
              <w:rPr>
                <w:rFonts w:ascii="Times New Roman" w:eastAsia="Times New Roman" w:hAnsi="Times New Roman" w:cs="Times New Roman"/>
                <w:b/>
                <w:bCs/>
                <w:sz w:val="24"/>
                <w:szCs w:val="24"/>
                <w:lang w:val="uk-UA" w:eastAsia="ru-RU"/>
              </w:rPr>
              <w:t>п</w:t>
            </w:r>
            <w:proofErr w:type="spellEnd"/>
          </w:p>
        </w:tc>
        <w:tc>
          <w:tcPr>
            <w:tcW w:w="3684" w:type="dxa"/>
            <w:shd w:val="clear" w:color="auto" w:fill="D9D9D9" w:themeFill="background1" w:themeFillShade="D9"/>
            <w:tcMar>
              <w:top w:w="100" w:type="dxa"/>
              <w:left w:w="100" w:type="dxa"/>
              <w:bottom w:w="100" w:type="dxa"/>
              <w:right w:w="100" w:type="dxa"/>
            </w:tcMar>
            <w:vAlign w:val="center"/>
            <w:hideMark/>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Кваліфікаційні критерії</w:t>
            </w:r>
          </w:p>
        </w:tc>
        <w:tc>
          <w:tcPr>
            <w:tcW w:w="5376" w:type="dxa"/>
            <w:shd w:val="clear" w:color="auto" w:fill="D9D9D9" w:themeFill="background1" w:themeFillShade="D9"/>
            <w:tcMar>
              <w:top w:w="100" w:type="dxa"/>
              <w:left w:w="100" w:type="dxa"/>
              <w:bottom w:w="100" w:type="dxa"/>
              <w:right w:w="100" w:type="dxa"/>
            </w:tcMar>
            <w:vAlign w:val="center"/>
            <w:hideMark/>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044201" w:rsidRPr="00044201" w:rsidTr="00F16FAE">
        <w:trPr>
          <w:trHeight w:val="1321"/>
          <w:jc w:val="center"/>
        </w:trPr>
        <w:tc>
          <w:tcPr>
            <w:tcW w:w="0" w:type="auto"/>
            <w:tcMar>
              <w:top w:w="100" w:type="dxa"/>
              <w:left w:w="100" w:type="dxa"/>
              <w:bottom w:w="100" w:type="dxa"/>
              <w:right w:w="100" w:type="dxa"/>
            </w:tcMar>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1.</w:t>
            </w:r>
          </w:p>
        </w:tc>
        <w:tc>
          <w:tcPr>
            <w:tcW w:w="3684" w:type="dxa"/>
            <w:tcMar>
              <w:top w:w="100" w:type="dxa"/>
              <w:left w:w="100" w:type="dxa"/>
              <w:bottom w:w="100" w:type="dxa"/>
              <w:right w:w="100" w:type="dxa"/>
            </w:tcMar>
          </w:tcPr>
          <w:p w:rsidR="00B21D32" w:rsidRPr="00044201" w:rsidRDefault="00B21D32" w:rsidP="005346A5">
            <w:pPr>
              <w:spacing w:after="0" w:line="240" w:lineRule="auto"/>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Mar>
              <w:top w:w="100" w:type="dxa"/>
              <w:left w:w="100" w:type="dxa"/>
              <w:bottom w:w="100" w:type="dxa"/>
              <w:right w:w="100" w:type="dxa"/>
            </w:tcMar>
          </w:tcPr>
          <w:p w:rsidR="00B21D32" w:rsidRPr="00044201" w:rsidRDefault="00B21D32" w:rsidP="005346A5">
            <w:pPr>
              <w:spacing w:after="0" w:line="240" w:lineRule="auto"/>
              <w:jc w:val="both"/>
              <w:rPr>
                <w:rFonts w:ascii="Times New Roman" w:eastAsia="Times New Roman" w:hAnsi="Times New Roman" w:cs="Times New Roman"/>
                <w:sz w:val="24"/>
                <w:szCs w:val="24"/>
                <w:lang w:val="uk-UA" w:eastAsia="ru-RU"/>
              </w:rPr>
            </w:pPr>
            <w:r w:rsidRPr="00044201">
              <w:rPr>
                <w:rFonts w:ascii="Times New Roman" w:eastAsia="Times New Roman" w:hAnsi="Times New Roman" w:cs="Times New Roman"/>
                <w:sz w:val="24"/>
                <w:szCs w:val="24"/>
                <w:lang w:val="uk-UA" w:eastAsia="ru-RU"/>
              </w:rPr>
              <w:t xml:space="preserve">1.1. </w:t>
            </w:r>
            <w:r w:rsidR="00017403" w:rsidRPr="00044201">
              <w:rPr>
                <w:rFonts w:ascii="Times New Roman" w:hAnsi="Times New Roman"/>
                <w:sz w:val="24"/>
                <w:szCs w:val="24"/>
                <w:lang w:val="uk-UA"/>
              </w:rPr>
              <w:t>Копія аналогічного договору, що підтверджує досвід постачання  предмета закупівлі Учасником предмету закупівлі</w:t>
            </w:r>
            <w:r w:rsidRPr="00044201">
              <w:rPr>
                <w:rFonts w:ascii="Times New Roman" w:hAnsi="Times New Roman"/>
                <w:sz w:val="24"/>
                <w:szCs w:val="24"/>
                <w:lang w:val="uk-UA"/>
              </w:rPr>
              <w:t>;</w:t>
            </w:r>
          </w:p>
          <w:p w:rsidR="00B21D32" w:rsidRPr="00044201" w:rsidRDefault="00B21D32" w:rsidP="005346A5">
            <w:pPr>
              <w:spacing w:after="0" w:line="240" w:lineRule="auto"/>
              <w:jc w:val="both"/>
              <w:rPr>
                <w:rFonts w:ascii="Times New Roman" w:eastAsia="Times New Roman" w:hAnsi="Times New Roman" w:cs="Times New Roman"/>
                <w:sz w:val="24"/>
                <w:szCs w:val="24"/>
                <w:lang w:val="uk-UA" w:eastAsia="ru-RU"/>
              </w:rPr>
            </w:pPr>
          </w:p>
        </w:tc>
      </w:tr>
      <w:tr w:rsidR="00044201" w:rsidRPr="00044201" w:rsidTr="00F16FAE">
        <w:trPr>
          <w:trHeight w:val="1014"/>
          <w:jc w:val="center"/>
        </w:trPr>
        <w:tc>
          <w:tcPr>
            <w:tcW w:w="0" w:type="auto"/>
            <w:tcMar>
              <w:top w:w="100" w:type="dxa"/>
              <w:left w:w="100" w:type="dxa"/>
              <w:bottom w:w="100" w:type="dxa"/>
              <w:right w:w="100" w:type="dxa"/>
            </w:tcMar>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2.</w:t>
            </w:r>
          </w:p>
        </w:tc>
        <w:tc>
          <w:tcPr>
            <w:tcW w:w="3684" w:type="dxa"/>
            <w:tcMar>
              <w:top w:w="100" w:type="dxa"/>
              <w:left w:w="100" w:type="dxa"/>
              <w:bottom w:w="100" w:type="dxa"/>
              <w:right w:w="100" w:type="dxa"/>
            </w:tcMar>
          </w:tcPr>
          <w:p w:rsidR="00B21D32" w:rsidRPr="00044201" w:rsidRDefault="00B21D32" w:rsidP="005346A5">
            <w:pPr>
              <w:spacing w:after="0" w:line="240" w:lineRule="auto"/>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Наявність в учасника процедури закупівлі обладнання, матеріально-технічної бази та технологій</w:t>
            </w:r>
          </w:p>
        </w:tc>
        <w:tc>
          <w:tcPr>
            <w:tcW w:w="5376" w:type="dxa"/>
            <w:tcMar>
              <w:top w:w="100" w:type="dxa"/>
              <w:left w:w="100" w:type="dxa"/>
              <w:bottom w:w="100" w:type="dxa"/>
              <w:right w:w="100" w:type="dxa"/>
            </w:tcMar>
          </w:tcPr>
          <w:p w:rsidR="00B21D32" w:rsidRPr="00044201" w:rsidRDefault="00B21D32" w:rsidP="005346A5">
            <w:pPr>
              <w:suppressAutoHyphens/>
              <w:snapToGrid w:val="0"/>
              <w:spacing w:after="0" w:line="240" w:lineRule="auto"/>
              <w:contextualSpacing/>
              <w:jc w:val="both"/>
              <w:rPr>
                <w:rFonts w:ascii="Times New Roman" w:hAnsi="Times New Roman" w:cs="Times New Roman"/>
                <w:sz w:val="24"/>
                <w:szCs w:val="24"/>
                <w:lang w:val="uk-UA" w:eastAsia="ar-SA"/>
              </w:rPr>
            </w:pPr>
            <w:r w:rsidRPr="00044201">
              <w:rPr>
                <w:rFonts w:ascii="Times New Roman" w:hAnsi="Times New Roman" w:cs="Times New Roman"/>
                <w:bCs/>
                <w:sz w:val="24"/>
                <w:szCs w:val="24"/>
                <w:lang w:val="uk-UA"/>
              </w:rPr>
              <w:t>2.1.</w:t>
            </w:r>
            <w:r w:rsidRPr="00044201">
              <w:rPr>
                <w:rFonts w:ascii="Times New Roman" w:hAnsi="Times New Roman" w:cs="Times New Roman"/>
                <w:sz w:val="24"/>
                <w:szCs w:val="24"/>
                <w:lang w:val="uk-UA" w:eastAsia="ar-SA"/>
              </w:rPr>
              <w:t xml:space="preserve"> Інформаційну довідку, складену у довільній формі, про наявність спеціалізованого автотранспорту: із зазначенням реєстраційного номеру автомобіля та виду (типу) кузову автотранспортного засобу; </w:t>
            </w:r>
          </w:p>
          <w:p w:rsidR="00B21D32" w:rsidRPr="00044201" w:rsidRDefault="00B21D32" w:rsidP="005346A5">
            <w:pPr>
              <w:autoSpaceDE w:val="0"/>
              <w:autoSpaceDN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sz w:val="24"/>
                <w:szCs w:val="24"/>
                <w:lang w:val="uk-UA"/>
              </w:rPr>
              <w:t>2.2.</w:t>
            </w:r>
            <w:r w:rsidR="00F16FAE" w:rsidRPr="00044201">
              <w:rPr>
                <w:rFonts w:ascii="Times New Roman" w:hAnsi="Times New Roman" w:cs="Times New Roman"/>
                <w:sz w:val="24"/>
                <w:szCs w:val="24"/>
                <w:lang w:val="uk-UA"/>
              </w:rPr>
              <w:t xml:space="preserve"> </w:t>
            </w:r>
            <w:r w:rsidRPr="00044201">
              <w:rPr>
                <w:rFonts w:ascii="Times New Roman" w:hAnsi="Times New Roman" w:cs="Times New Roman"/>
                <w:sz w:val="24"/>
                <w:szCs w:val="24"/>
                <w:lang w:val="uk-UA"/>
              </w:rPr>
              <w:t xml:space="preserve">Свідоцтва про реєстрацію автотранспортних засобів; </w:t>
            </w:r>
          </w:p>
          <w:p w:rsidR="00B21D32" w:rsidRPr="00044201" w:rsidRDefault="00B21D32" w:rsidP="005346A5">
            <w:pPr>
              <w:keepNext/>
              <w:spacing w:after="0" w:line="240" w:lineRule="auto"/>
              <w:ind w:left="30"/>
              <w:jc w:val="both"/>
              <w:outlineLvl w:val="1"/>
              <w:rPr>
                <w:rFonts w:ascii="Times New Roman" w:hAnsi="Times New Roman" w:cs="Times New Roman"/>
                <w:sz w:val="24"/>
                <w:szCs w:val="24"/>
                <w:lang w:val="uk-UA"/>
              </w:rPr>
            </w:pPr>
            <w:r w:rsidRPr="00044201">
              <w:rPr>
                <w:rFonts w:ascii="Times New Roman" w:hAnsi="Times New Roman" w:cs="Times New Roman"/>
                <w:sz w:val="24"/>
                <w:szCs w:val="24"/>
                <w:lang w:val="uk-UA"/>
              </w:rPr>
              <w:t xml:space="preserve">     За відсутністю в Учасника власного спеціалізованого автотранспорту, Учасник надає крім перелічених документів:</w:t>
            </w:r>
          </w:p>
          <w:p w:rsidR="00B21D32" w:rsidRPr="00044201" w:rsidRDefault="00B21D32" w:rsidP="005346A5">
            <w:pPr>
              <w:keepNext/>
              <w:spacing w:after="0" w:line="240" w:lineRule="auto"/>
              <w:ind w:left="30"/>
              <w:jc w:val="both"/>
              <w:outlineLvl w:val="1"/>
              <w:rPr>
                <w:rFonts w:ascii="Times New Roman" w:hAnsi="Times New Roman" w:cs="Times New Roman"/>
                <w:sz w:val="24"/>
                <w:szCs w:val="24"/>
                <w:u w:val="single"/>
                <w:lang w:val="uk-UA"/>
              </w:rPr>
            </w:pPr>
            <w:r w:rsidRPr="00044201">
              <w:rPr>
                <w:rFonts w:ascii="Times New Roman" w:hAnsi="Times New Roman" w:cs="Times New Roman"/>
                <w:sz w:val="24"/>
                <w:szCs w:val="24"/>
                <w:lang w:val="uk-UA"/>
              </w:rPr>
              <w:t xml:space="preserve">- договір оренди, позички, що надає Учаснику право користування транспортними засобами. </w:t>
            </w:r>
          </w:p>
          <w:p w:rsidR="00B21D32" w:rsidRPr="00044201" w:rsidRDefault="00B21D32" w:rsidP="005346A5">
            <w:pPr>
              <w:autoSpaceDE w:val="0"/>
              <w:autoSpaceDN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sz w:val="24"/>
                <w:szCs w:val="24"/>
                <w:lang w:val="uk-UA"/>
              </w:rPr>
              <w:t>2.3.</w:t>
            </w:r>
            <w:r w:rsidR="00F16FAE" w:rsidRPr="00044201">
              <w:rPr>
                <w:rFonts w:ascii="Times New Roman" w:hAnsi="Times New Roman" w:cs="Times New Roman"/>
                <w:b/>
                <w:sz w:val="24"/>
                <w:szCs w:val="24"/>
                <w:lang w:val="uk-UA"/>
              </w:rPr>
              <w:t xml:space="preserve"> </w:t>
            </w:r>
            <w:r w:rsidRPr="00044201">
              <w:rPr>
                <w:rFonts w:ascii="Times New Roman" w:hAnsi="Times New Roman" w:cs="Times New Roman"/>
                <w:sz w:val="24"/>
                <w:szCs w:val="24"/>
                <w:lang w:val="uk-UA"/>
              </w:rPr>
              <w:t>На підтвердження дотримання Учасником вимог Санітарних правил для підприємств продовольчої торгівлі від 16.04.1991 за № 5781-91 щодо періодичної дезінфекції транспорту Учасник надає:</w:t>
            </w:r>
          </w:p>
          <w:p w:rsidR="00B21D32" w:rsidRPr="00044201" w:rsidRDefault="00B21D32" w:rsidP="005346A5">
            <w:pPr>
              <w:autoSpaceDE w:val="0"/>
              <w:autoSpaceDN w:val="0"/>
              <w:spacing w:after="0" w:line="240" w:lineRule="auto"/>
              <w:jc w:val="both"/>
              <w:rPr>
                <w:rFonts w:ascii="Times New Roman" w:hAnsi="Times New Roman" w:cs="Times New Roman"/>
                <w:sz w:val="24"/>
                <w:szCs w:val="24"/>
                <w:u w:val="single"/>
                <w:lang w:val="uk-UA"/>
              </w:rPr>
            </w:pPr>
            <w:r w:rsidRPr="00044201">
              <w:rPr>
                <w:rFonts w:ascii="Times New Roman" w:hAnsi="Times New Roman" w:cs="Times New Roman"/>
                <w:sz w:val="24"/>
                <w:szCs w:val="24"/>
                <w:lang w:val="uk-UA"/>
              </w:rPr>
              <w:t xml:space="preserve">- </w:t>
            </w:r>
            <w:r w:rsidRPr="00044201">
              <w:rPr>
                <w:rFonts w:ascii="Times New Roman" w:hAnsi="Times New Roman" w:cs="Times New Roman"/>
                <w:i/>
                <w:sz w:val="24"/>
                <w:szCs w:val="24"/>
                <w:u w:val="single"/>
                <w:lang w:val="uk-UA"/>
              </w:rPr>
              <w:t>у разі здійснення дезінфекції транспортних засобів суб’єктом господарювання</w:t>
            </w:r>
            <w:r w:rsidRPr="00044201">
              <w:rPr>
                <w:rFonts w:ascii="Times New Roman" w:hAnsi="Times New Roman" w:cs="Times New Roman"/>
                <w:sz w:val="24"/>
                <w:szCs w:val="24"/>
                <w:u w:val="single"/>
                <w:lang w:val="uk-UA"/>
              </w:rPr>
              <w:t>:</w:t>
            </w:r>
          </w:p>
          <w:p w:rsidR="00B21D32" w:rsidRPr="00044201" w:rsidRDefault="00B21D32" w:rsidP="005346A5">
            <w:pPr>
              <w:pStyle w:val="a6"/>
              <w:widowControl w:val="0"/>
              <w:numPr>
                <w:ilvl w:val="0"/>
                <w:numId w:val="3"/>
              </w:numPr>
              <w:autoSpaceDE w:val="0"/>
              <w:autoSpaceDN w:val="0"/>
              <w:snapToGrid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sz w:val="24"/>
                <w:szCs w:val="24"/>
                <w:lang w:val="uk-UA"/>
              </w:rPr>
              <w:t>договір про послуги з дезінфекції автотранспортних засобів, якими буде здійснюватися перевезення предмету закупівлі;</w:t>
            </w:r>
          </w:p>
          <w:p w:rsidR="00B21D32" w:rsidRPr="00044201" w:rsidRDefault="00B21D32" w:rsidP="005346A5">
            <w:pPr>
              <w:autoSpaceDE w:val="0"/>
              <w:autoSpaceDN w:val="0"/>
              <w:spacing w:after="0" w:line="240" w:lineRule="auto"/>
              <w:ind w:left="360"/>
              <w:jc w:val="both"/>
              <w:rPr>
                <w:rFonts w:ascii="Times New Roman" w:hAnsi="Times New Roman" w:cs="Times New Roman"/>
                <w:sz w:val="24"/>
                <w:szCs w:val="24"/>
                <w:lang w:val="uk-UA"/>
              </w:rPr>
            </w:pPr>
            <w:r w:rsidRPr="00044201">
              <w:rPr>
                <w:rFonts w:ascii="Times New Roman" w:hAnsi="Times New Roman" w:cs="Times New Roman"/>
                <w:i/>
                <w:sz w:val="24"/>
                <w:szCs w:val="24"/>
                <w:lang w:val="uk-UA"/>
              </w:rPr>
              <w:t xml:space="preserve">- </w:t>
            </w:r>
            <w:r w:rsidRPr="00044201">
              <w:rPr>
                <w:rFonts w:ascii="Times New Roman" w:hAnsi="Times New Roman" w:cs="Times New Roman"/>
                <w:i/>
                <w:sz w:val="24"/>
                <w:szCs w:val="24"/>
                <w:u w:val="single"/>
                <w:lang w:val="uk-UA"/>
              </w:rPr>
              <w:t>у разі, якщо Учасник самостійно здійснює дезінфекцію транспортних засобів:</w:t>
            </w:r>
          </w:p>
          <w:p w:rsidR="00B21D32" w:rsidRPr="00044201" w:rsidRDefault="00B21D32" w:rsidP="005346A5">
            <w:pPr>
              <w:pStyle w:val="a6"/>
              <w:widowControl w:val="0"/>
              <w:numPr>
                <w:ilvl w:val="0"/>
                <w:numId w:val="3"/>
              </w:numPr>
              <w:autoSpaceDE w:val="0"/>
              <w:autoSpaceDN w:val="0"/>
              <w:snapToGrid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sz w:val="24"/>
                <w:szCs w:val="24"/>
                <w:lang w:val="uk-UA"/>
              </w:rPr>
              <w:t>наказ Учасника про призначення особи відповідальною за проведення дезінфекційних робіт автотранспорту;</w:t>
            </w:r>
          </w:p>
          <w:p w:rsidR="00673AC1" w:rsidRPr="00044201" w:rsidRDefault="00673AC1" w:rsidP="005346A5">
            <w:pPr>
              <w:widowControl w:val="0"/>
              <w:autoSpaceDE w:val="0"/>
              <w:autoSpaceDN w:val="0"/>
              <w:snapToGrid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sz w:val="24"/>
                <w:szCs w:val="24"/>
                <w:lang w:val="uk-UA"/>
              </w:rPr>
              <w:t xml:space="preserve">2.4. </w:t>
            </w:r>
            <w:r w:rsidR="00C7548D" w:rsidRPr="00044201">
              <w:rPr>
                <w:rFonts w:ascii="Times New Roman" w:hAnsi="Times New Roman" w:cs="Times New Roman"/>
                <w:sz w:val="24"/>
                <w:szCs w:val="24"/>
                <w:lang w:val="uk-UA"/>
              </w:rPr>
              <w:t>Експлуатаційний дозвіл для потужностей з виробництва, переробки та реалізації харчових продуктів та/або  документ, який підтвердить реєстрацію потужностей оператора ринку виданий на ім’я учасника або орендодавця</w:t>
            </w:r>
          </w:p>
        </w:tc>
      </w:tr>
      <w:tr w:rsidR="00044201" w:rsidRPr="00044201" w:rsidTr="00F16FAE">
        <w:trPr>
          <w:trHeight w:val="1014"/>
          <w:jc w:val="center"/>
        </w:trPr>
        <w:tc>
          <w:tcPr>
            <w:tcW w:w="0" w:type="auto"/>
            <w:tcMar>
              <w:top w:w="100" w:type="dxa"/>
              <w:left w:w="100" w:type="dxa"/>
              <w:bottom w:w="100" w:type="dxa"/>
              <w:right w:w="100" w:type="dxa"/>
            </w:tcMar>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3.</w:t>
            </w:r>
          </w:p>
        </w:tc>
        <w:tc>
          <w:tcPr>
            <w:tcW w:w="3684" w:type="dxa"/>
            <w:tcMar>
              <w:top w:w="100" w:type="dxa"/>
              <w:left w:w="100" w:type="dxa"/>
              <w:bottom w:w="100" w:type="dxa"/>
              <w:right w:w="100" w:type="dxa"/>
            </w:tcMar>
          </w:tcPr>
          <w:p w:rsidR="00B21D32" w:rsidRPr="00044201" w:rsidRDefault="00B21D32" w:rsidP="005346A5">
            <w:pPr>
              <w:spacing w:after="0" w:line="240" w:lineRule="auto"/>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Наявність в учасника процедури закупівлі працівників відповідної кваліфікації, які мають необхідні знання та досвід</w:t>
            </w:r>
          </w:p>
        </w:tc>
        <w:tc>
          <w:tcPr>
            <w:tcW w:w="5376" w:type="dxa"/>
            <w:tcMar>
              <w:top w:w="100" w:type="dxa"/>
              <w:left w:w="100" w:type="dxa"/>
              <w:bottom w:w="100" w:type="dxa"/>
              <w:right w:w="100" w:type="dxa"/>
            </w:tcMar>
          </w:tcPr>
          <w:p w:rsidR="00B21D32" w:rsidRPr="00044201" w:rsidRDefault="00B21D32" w:rsidP="005346A5">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b/>
                <w:i/>
                <w:sz w:val="24"/>
                <w:szCs w:val="24"/>
                <w:lang w:val="uk-UA" w:eastAsia="ru-RU"/>
              </w:rPr>
              <w:t>Наявність працівників відповідної кваліфікації, які мають необхідні знання та досвід:</w:t>
            </w:r>
          </w:p>
          <w:p w:rsidR="00D37261" w:rsidRPr="00044201" w:rsidRDefault="00B21D32" w:rsidP="00D37261">
            <w:pPr>
              <w:widowControl w:val="0"/>
              <w:autoSpaceDE w:val="0"/>
              <w:autoSpaceDN w:val="0"/>
              <w:adjustRightInd w:val="0"/>
              <w:spacing w:after="0" w:line="240" w:lineRule="auto"/>
              <w:jc w:val="both"/>
              <w:rPr>
                <w:rFonts w:ascii="Times New Roman" w:hAnsi="Times New Roman" w:cs="Times New Roman"/>
                <w:sz w:val="24"/>
                <w:szCs w:val="24"/>
                <w:lang w:val="uk-UA" w:eastAsia="ru-RU"/>
              </w:rPr>
            </w:pPr>
            <w:r w:rsidRPr="00044201">
              <w:rPr>
                <w:rFonts w:ascii="Times New Roman" w:hAnsi="Times New Roman" w:cs="Times New Roman"/>
                <w:b/>
                <w:sz w:val="24"/>
                <w:szCs w:val="24"/>
                <w:lang w:val="uk-UA" w:eastAsia="ru-RU"/>
              </w:rPr>
              <w:t>3.1.</w:t>
            </w:r>
            <w:r w:rsidRPr="00044201">
              <w:rPr>
                <w:rFonts w:ascii="Times New Roman" w:hAnsi="Times New Roman" w:cs="Times New Roman"/>
                <w:sz w:val="24"/>
                <w:szCs w:val="24"/>
                <w:lang w:val="uk-UA" w:eastAsia="ru-RU"/>
              </w:rPr>
              <w:t xml:space="preserve"> </w:t>
            </w:r>
            <w:r w:rsidR="00D37261" w:rsidRPr="00044201">
              <w:rPr>
                <w:rFonts w:ascii="Times New Roman" w:hAnsi="Times New Roman" w:cs="Times New Roman"/>
                <w:sz w:val="24"/>
                <w:szCs w:val="24"/>
                <w:lang w:val="uk-UA" w:eastAsia="ru-RU"/>
              </w:rPr>
              <w:t>Довідка про наявність працівників відповідної кваліфікації, які мають необхідні знання та досвід, за формою Таблиці 1.</w:t>
            </w:r>
          </w:p>
          <w:p w:rsidR="00D37261" w:rsidRPr="00044201" w:rsidRDefault="00D37261" w:rsidP="00D37261">
            <w:pPr>
              <w:widowControl w:val="0"/>
              <w:autoSpaceDE w:val="0"/>
              <w:autoSpaceDN w:val="0"/>
              <w:adjustRightInd w:val="0"/>
              <w:spacing w:after="0" w:line="240" w:lineRule="auto"/>
              <w:jc w:val="right"/>
              <w:rPr>
                <w:rFonts w:ascii="Times New Roman" w:hAnsi="Times New Roman" w:cs="Times New Roman"/>
                <w:sz w:val="20"/>
                <w:szCs w:val="24"/>
                <w:lang w:val="uk-UA" w:eastAsia="ru-RU"/>
              </w:rPr>
            </w:pPr>
          </w:p>
          <w:p w:rsidR="00D37261" w:rsidRPr="00044201" w:rsidRDefault="00D37261" w:rsidP="00D37261">
            <w:pPr>
              <w:widowControl w:val="0"/>
              <w:autoSpaceDE w:val="0"/>
              <w:autoSpaceDN w:val="0"/>
              <w:adjustRightInd w:val="0"/>
              <w:spacing w:after="0" w:line="240" w:lineRule="auto"/>
              <w:jc w:val="right"/>
              <w:rPr>
                <w:rFonts w:ascii="Times New Roman" w:hAnsi="Times New Roman" w:cs="Times New Roman"/>
                <w:sz w:val="20"/>
                <w:szCs w:val="24"/>
                <w:lang w:val="uk-UA" w:eastAsia="ru-RU"/>
              </w:rPr>
            </w:pPr>
          </w:p>
          <w:p w:rsidR="00D37261" w:rsidRPr="00044201" w:rsidRDefault="00D37261" w:rsidP="00D37261">
            <w:pPr>
              <w:widowControl w:val="0"/>
              <w:autoSpaceDE w:val="0"/>
              <w:autoSpaceDN w:val="0"/>
              <w:adjustRightInd w:val="0"/>
              <w:spacing w:after="0" w:line="240" w:lineRule="auto"/>
              <w:jc w:val="right"/>
              <w:rPr>
                <w:rFonts w:ascii="Times New Roman" w:hAnsi="Times New Roman" w:cs="Times New Roman"/>
                <w:sz w:val="20"/>
                <w:szCs w:val="24"/>
                <w:lang w:val="uk-UA" w:eastAsia="ru-RU"/>
              </w:rPr>
            </w:pPr>
            <w:r w:rsidRPr="00044201">
              <w:rPr>
                <w:rFonts w:ascii="Times New Roman" w:hAnsi="Times New Roman" w:cs="Times New Roman"/>
                <w:sz w:val="20"/>
                <w:szCs w:val="24"/>
                <w:lang w:val="uk-UA" w:eastAsia="ru-RU"/>
              </w:rPr>
              <w:lastRenderedPageBreak/>
              <w:t xml:space="preserve">Таблиця 1  </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959"/>
              <w:gridCol w:w="920"/>
              <w:gridCol w:w="1288"/>
              <w:gridCol w:w="1039"/>
            </w:tblGrid>
            <w:tr w:rsidR="00044201" w:rsidRPr="00044201" w:rsidTr="00D37261">
              <w:tc>
                <w:tcPr>
                  <w:tcW w:w="925" w:type="dxa"/>
                  <w:tcBorders>
                    <w:top w:val="single" w:sz="4" w:space="0" w:color="auto"/>
                    <w:left w:val="single" w:sz="4" w:space="0" w:color="auto"/>
                    <w:bottom w:val="single" w:sz="4" w:space="0" w:color="auto"/>
                    <w:right w:val="single" w:sz="4" w:space="0" w:color="auto"/>
                  </w:tcBorders>
                  <w:vAlign w:val="center"/>
                </w:tcPr>
                <w:p w:rsidR="00B21D32" w:rsidRPr="00044201" w:rsidRDefault="00B21D32" w:rsidP="005346A5">
                  <w:pPr>
                    <w:spacing w:after="0" w:line="240" w:lineRule="auto"/>
                    <w:jc w:val="center"/>
                    <w:rPr>
                      <w:rFonts w:ascii="Times New Roman" w:hAnsi="Times New Roman" w:cs="Times New Roman"/>
                      <w:sz w:val="18"/>
                      <w:szCs w:val="24"/>
                      <w:lang w:val="uk-UA" w:eastAsia="ru-RU"/>
                    </w:rPr>
                  </w:pPr>
                  <w:r w:rsidRPr="00044201">
                    <w:rPr>
                      <w:rFonts w:ascii="Times New Roman" w:hAnsi="Times New Roman" w:cs="Times New Roman"/>
                      <w:sz w:val="18"/>
                      <w:szCs w:val="24"/>
                      <w:lang w:val="uk-UA" w:eastAsia="ru-RU"/>
                    </w:rPr>
                    <w:t>П.І.Б.</w:t>
                  </w:r>
                </w:p>
              </w:tc>
              <w:tc>
                <w:tcPr>
                  <w:tcW w:w="959" w:type="dxa"/>
                  <w:tcBorders>
                    <w:top w:val="single" w:sz="4" w:space="0" w:color="auto"/>
                    <w:left w:val="single" w:sz="4" w:space="0" w:color="auto"/>
                    <w:bottom w:val="single" w:sz="4" w:space="0" w:color="auto"/>
                    <w:right w:val="single" w:sz="4" w:space="0" w:color="auto"/>
                  </w:tcBorders>
                  <w:vAlign w:val="center"/>
                </w:tcPr>
                <w:p w:rsidR="00B21D32" w:rsidRPr="00044201" w:rsidRDefault="00B21D32" w:rsidP="005346A5">
                  <w:pPr>
                    <w:spacing w:after="0" w:line="240" w:lineRule="auto"/>
                    <w:jc w:val="center"/>
                    <w:rPr>
                      <w:rFonts w:ascii="Times New Roman" w:hAnsi="Times New Roman" w:cs="Times New Roman"/>
                      <w:sz w:val="18"/>
                      <w:szCs w:val="24"/>
                      <w:lang w:val="uk-UA" w:eastAsia="ru-RU"/>
                    </w:rPr>
                  </w:pPr>
                  <w:r w:rsidRPr="00044201">
                    <w:rPr>
                      <w:rFonts w:ascii="Times New Roman" w:hAnsi="Times New Roman" w:cs="Times New Roman"/>
                      <w:sz w:val="18"/>
                      <w:szCs w:val="24"/>
                      <w:lang w:val="uk-UA" w:eastAsia="ru-RU"/>
                    </w:rPr>
                    <w:t>Посада</w:t>
                  </w:r>
                </w:p>
              </w:tc>
              <w:tc>
                <w:tcPr>
                  <w:tcW w:w="920" w:type="dxa"/>
                  <w:tcBorders>
                    <w:top w:val="single" w:sz="4" w:space="0" w:color="auto"/>
                    <w:left w:val="single" w:sz="4" w:space="0" w:color="auto"/>
                    <w:bottom w:val="single" w:sz="4" w:space="0" w:color="auto"/>
                    <w:right w:val="single" w:sz="4" w:space="0" w:color="auto"/>
                  </w:tcBorders>
                  <w:vAlign w:val="center"/>
                </w:tcPr>
                <w:p w:rsidR="00B21D32" w:rsidRPr="00044201" w:rsidRDefault="00B21D32" w:rsidP="005346A5">
                  <w:pPr>
                    <w:spacing w:after="0" w:line="240" w:lineRule="auto"/>
                    <w:jc w:val="center"/>
                    <w:rPr>
                      <w:rFonts w:ascii="Times New Roman" w:hAnsi="Times New Roman" w:cs="Times New Roman"/>
                      <w:sz w:val="18"/>
                      <w:szCs w:val="24"/>
                      <w:lang w:val="uk-UA" w:eastAsia="ru-RU"/>
                    </w:rPr>
                  </w:pPr>
                  <w:r w:rsidRPr="00044201">
                    <w:rPr>
                      <w:rFonts w:ascii="Times New Roman" w:hAnsi="Times New Roman" w:cs="Times New Roman"/>
                      <w:sz w:val="18"/>
                      <w:szCs w:val="24"/>
                      <w:lang w:val="uk-UA" w:eastAsia="ru-RU"/>
                    </w:rPr>
                    <w:t xml:space="preserve">Освіта </w:t>
                  </w:r>
                </w:p>
              </w:tc>
              <w:tc>
                <w:tcPr>
                  <w:tcW w:w="1288" w:type="dxa"/>
                  <w:tcBorders>
                    <w:top w:val="single" w:sz="4" w:space="0" w:color="auto"/>
                    <w:left w:val="single" w:sz="4" w:space="0" w:color="auto"/>
                    <w:bottom w:val="single" w:sz="4" w:space="0" w:color="auto"/>
                    <w:right w:val="single" w:sz="4" w:space="0" w:color="auto"/>
                  </w:tcBorders>
                  <w:vAlign w:val="center"/>
                </w:tcPr>
                <w:p w:rsidR="00B21D32" w:rsidRPr="00044201" w:rsidRDefault="00B21D32" w:rsidP="005346A5">
                  <w:pPr>
                    <w:spacing w:after="0" w:line="240" w:lineRule="auto"/>
                    <w:jc w:val="center"/>
                    <w:rPr>
                      <w:rFonts w:ascii="Times New Roman" w:hAnsi="Times New Roman" w:cs="Times New Roman"/>
                      <w:sz w:val="18"/>
                      <w:szCs w:val="24"/>
                      <w:lang w:val="uk-UA" w:eastAsia="ru-RU"/>
                    </w:rPr>
                  </w:pPr>
                  <w:r w:rsidRPr="00044201">
                    <w:rPr>
                      <w:rFonts w:ascii="Times New Roman" w:hAnsi="Times New Roman" w:cs="Times New Roman"/>
                      <w:sz w:val="18"/>
                      <w:szCs w:val="24"/>
                      <w:lang w:val="uk-UA" w:eastAsia="ru-RU"/>
                    </w:rPr>
                    <w:t>Загальний досвід роботи (роки)</w:t>
                  </w:r>
                </w:p>
              </w:tc>
              <w:tc>
                <w:tcPr>
                  <w:tcW w:w="1039" w:type="dxa"/>
                  <w:tcBorders>
                    <w:top w:val="single" w:sz="4" w:space="0" w:color="auto"/>
                    <w:left w:val="single" w:sz="4" w:space="0" w:color="auto"/>
                    <w:bottom w:val="single" w:sz="4" w:space="0" w:color="auto"/>
                    <w:right w:val="single" w:sz="4" w:space="0" w:color="auto"/>
                  </w:tcBorders>
                </w:tcPr>
                <w:p w:rsidR="00B21D32" w:rsidRPr="00044201" w:rsidRDefault="00B21D32" w:rsidP="005346A5">
                  <w:pPr>
                    <w:spacing w:after="0" w:line="240" w:lineRule="auto"/>
                    <w:jc w:val="center"/>
                    <w:rPr>
                      <w:rFonts w:ascii="Times New Roman" w:hAnsi="Times New Roman" w:cs="Times New Roman"/>
                      <w:sz w:val="18"/>
                      <w:szCs w:val="24"/>
                      <w:lang w:val="uk-UA" w:eastAsia="ru-RU"/>
                    </w:rPr>
                  </w:pPr>
                  <w:r w:rsidRPr="00044201">
                    <w:rPr>
                      <w:rFonts w:ascii="Times New Roman" w:hAnsi="Times New Roman" w:cs="Times New Roman"/>
                      <w:sz w:val="18"/>
                      <w:szCs w:val="24"/>
                      <w:lang w:val="uk-UA" w:eastAsia="ru-RU"/>
                    </w:rPr>
                    <w:t>Досвід роботи на посаді що обіймає (роки)</w:t>
                  </w:r>
                </w:p>
              </w:tc>
            </w:tr>
          </w:tbl>
          <w:p w:rsidR="00B21D32" w:rsidRPr="00044201" w:rsidRDefault="00B21D32" w:rsidP="005346A5">
            <w:pPr>
              <w:autoSpaceDE w:val="0"/>
              <w:autoSpaceDN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b/>
                <w:sz w:val="24"/>
                <w:szCs w:val="24"/>
                <w:lang w:val="uk-UA"/>
              </w:rPr>
              <w:t xml:space="preserve">3.2. </w:t>
            </w:r>
            <w:r w:rsidRPr="00044201">
              <w:rPr>
                <w:rFonts w:ascii="Times New Roman" w:hAnsi="Times New Roman" w:cs="Times New Roman"/>
                <w:sz w:val="24"/>
                <w:szCs w:val="24"/>
                <w:lang w:val="uk-UA"/>
              </w:rPr>
              <w:t>Особисті медичні книжки (з відміткою лікаря про проходження медогляду) водіїв, експедиторів транспортних та вантажників які будуть супроводжувати постачання предмету закупівлі, у кількості відповідно до кількості одиниць спеціалізованого автотранспорту, яким  буде здійснюватися перевезення предмету закупівлі (окремо водії, окремо експедитори транспортні  та окремо вантажники);</w:t>
            </w:r>
          </w:p>
          <w:p w:rsidR="00B21D32" w:rsidRPr="00044201" w:rsidRDefault="00B21D32" w:rsidP="005346A5">
            <w:pPr>
              <w:keepNext/>
              <w:spacing w:after="0" w:line="240" w:lineRule="auto"/>
              <w:ind w:left="30"/>
              <w:jc w:val="both"/>
              <w:outlineLvl w:val="1"/>
              <w:rPr>
                <w:rFonts w:ascii="Times New Roman" w:hAnsi="Times New Roman" w:cs="Times New Roman"/>
                <w:sz w:val="24"/>
                <w:szCs w:val="24"/>
                <w:lang w:val="uk-UA"/>
              </w:rPr>
            </w:pPr>
            <w:r w:rsidRPr="00044201">
              <w:rPr>
                <w:rFonts w:ascii="Times New Roman" w:hAnsi="Times New Roman" w:cs="Times New Roman"/>
                <w:b/>
                <w:sz w:val="24"/>
                <w:szCs w:val="24"/>
                <w:lang w:val="uk-UA"/>
              </w:rPr>
              <w:t>3.3.</w:t>
            </w:r>
            <w:r w:rsidRPr="00044201">
              <w:rPr>
                <w:rFonts w:ascii="Times New Roman" w:hAnsi="Times New Roman" w:cs="Times New Roman"/>
                <w:sz w:val="24"/>
                <w:szCs w:val="24"/>
                <w:lang w:val="uk-UA"/>
              </w:rPr>
              <w:t xml:space="preserve"> Медичні довідки водіїв щодо придатності до керування транспортним засобом.</w:t>
            </w:r>
          </w:p>
        </w:tc>
      </w:tr>
    </w:tbl>
    <w:p w:rsidR="00F0336D" w:rsidRPr="00044201" w:rsidRDefault="006B4A9F" w:rsidP="005346A5">
      <w:pPr>
        <w:spacing w:after="0" w:line="240" w:lineRule="auto"/>
        <w:ind w:firstLine="720"/>
        <w:jc w:val="both"/>
        <w:rPr>
          <w:rFonts w:ascii="Times New Roman" w:eastAsia="Times New Roman" w:hAnsi="Times New Roman" w:cs="Times New Roman"/>
          <w:sz w:val="24"/>
          <w:szCs w:val="24"/>
          <w:lang w:val="uk-UA"/>
        </w:rPr>
      </w:pPr>
      <w:r w:rsidRPr="00044201">
        <w:rPr>
          <w:rFonts w:ascii="Times New Roman" w:eastAsia="Times New Roman" w:hAnsi="Times New Roman" w:cs="Times New Roman"/>
          <w:i/>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0336D" w:rsidRPr="00044201" w:rsidRDefault="006B4A9F" w:rsidP="005346A5">
      <w:pPr>
        <w:pStyle w:val="a6"/>
        <w:numPr>
          <w:ilvl w:val="0"/>
          <w:numId w:val="2"/>
        </w:numPr>
        <w:spacing w:after="0" w:line="240" w:lineRule="auto"/>
        <w:ind w:left="0" w:firstLine="284"/>
        <w:jc w:val="both"/>
        <w:rPr>
          <w:rFonts w:ascii="Times New Roman" w:eastAsia="Times New Roman" w:hAnsi="Times New Roman" w:cs="Times New Roman"/>
          <w:b/>
          <w:sz w:val="24"/>
          <w:szCs w:val="24"/>
          <w:lang w:val="uk-UA"/>
        </w:rPr>
      </w:pPr>
      <w:r w:rsidRPr="00044201">
        <w:rPr>
          <w:rFonts w:ascii="Times New Roman" w:eastAsia="Times New Roman" w:hAnsi="Times New Roman" w:cs="Times New Roman"/>
          <w:b/>
          <w:sz w:val="24"/>
          <w:szCs w:val="24"/>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3A6D82" w:rsidRPr="00044201" w:rsidRDefault="006B4A9F" w:rsidP="005346A5">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44201">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0336D" w:rsidRPr="00044201" w:rsidRDefault="006B4A9F" w:rsidP="005346A5">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44201">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0336D" w:rsidRPr="00044201" w:rsidRDefault="006B4A9F" w:rsidP="005346A5">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44201">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0336D" w:rsidRPr="00044201" w:rsidRDefault="006B4A9F" w:rsidP="005346A5">
      <w:pPr>
        <w:pStyle w:val="a6"/>
        <w:numPr>
          <w:ilvl w:val="0"/>
          <w:numId w:val="2"/>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lang w:val="uk-UA"/>
        </w:rPr>
      </w:pPr>
      <w:r w:rsidRPr="00044201">
        <w:rPr>
          <w:rFonts w:ascii="Times New Roman" w:eastAsia="Times New Roman" w:hAnsi="Times New Roman" w:cs="Times New Roman"/>
          <w:b/>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F0336D" w:rsidRPr="00044201" w:rsidRDefault="006B4A9F" w:rsidP="005346A5">
      <w:pPr>
        <w:spacing w:after="0" w:line="240" w:lineRule="auto"/>
        <w:jc w:val="both"/>
        <w:rPr>
          <w:rFonts w:ascii="Times New Roman" w:eastAsia="Times New Roman" w:hAnsi="Times New Roman" w:cs="Times New Roman"/>
          <w:b/>
          <w:sz w:val="24"/>
          <w:szCs w:val="24"/>
          <w:lang w:val="uk-UA"/>
        </w:rPr>
      </w:pPr>
      <w:r w:rsidRPr="00044201">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0336D" w:rsidRPr="00044201" w:rsidRDefault="006B4A9F" w:rsidP="005346A5">
      <w:pPr>
        <w:spacing w:after="0" w:line="240" w:lineRule="auto"/>
        <w:ind w:firstLine="567"/>
        <w:jc w:val="both"/>
        <w:rPr>
          <w:rFonts w:ascii="Times New Roman" w:eastAsia="Times New Roman" w:hAnsi="Times New Roman" w:cs="Times New Roman"/>
          <w:sz w:val="24"/>
          <w:szCs w:val="24"/>
          <w:lang w:val="uk-UA"/>
        </w:rPr>
      </w:pPr>
      <w:r w:rsidRPr="00044201">
        <w:rPr>
          <w:rFonts w:ascii="Times New Roman" w:eastAsia="Times New Roman" w:hAnsi="Times New Roman" w:cs="Times New Roman"/>
          <w:b/>
          <w:sz w:val="24"/>
          <w:szCs w:val="24"/>
          <w:highlight w:val="yellow"/>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F0336D" w:rsidRPr="00E51AF1" w:rsidRDefault="006B4A9F" w:rsidP="005346A5">
      <w:pPr>
        <w:spacing w:after="0" w:line="240" w:lineRule="auto"/>
        <w:rPr>
          <w:rFonts w:ascii="Times New Roman" w:eastAsia="Times New Roman" w:hAnsi="Times New Roman" w:cs="Times New Roman"/>
          <w:b/>
          <w:sz w:val="24"/>
          <w:szCs w:val="24"/>
          <w:lang w:val="uk-UA"/>
        </w:rPr>
      </w:pPr>
      <w:r w:rsidRPr="00E51AF1">
        <w:rPr>
          <w:rFonts w:ascii="Times New Roman" w:eastAsia="Times New Roman" w:hAnsi="Times New Roman" w:cs="Times New Roman"/>
          <w:sz w:val="24"/>
          <w:szCs w:val="24"/>
          <w:lang w:val="uk-UA"/>
        </w:rPr>
        <w:lastRenderedPageBreak/>
        <w:t> </w:t>
      </w:r>
      <w:r w:rsidRPr="00E51AF1">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b"/>
        <w:tblW w:w="9923" w:type="dxa"/>
        <w:tblInd w:w="1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426"/>
        <w:gridCol w:w="4489"/>
        <w:gridCol w:w="5008"/>
      </w:tblGrid>
      <w:tr w:rsidR="00E51AF1" w:rsidRPr="00E51AF1" w:rsidTr="005346A5">
        <w:trPr>
          <w:trHeight w:val="619"/>
        </w:trPr>
        <w:tc>
          <w:tcPr>
            <w:tcW w:w="426"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w:t>
            </w:r>
          </w:p>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з/п</w:t>
            </w:r>
          </w:p>
        </w:tc>
        <w:tc>
          <w:tcPr>
            <w:tcW w:w="4489"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ind w:lef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Вимоги статті 17 Закону</w:t>
            </w:r>
          </w:p>
        </w:tc>
        <w:tc>
          <w:tcPr>
            <w:tcW w:w="5008"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ind w:lef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Переможець торгів на виконання вимоги статті 17 Закону (підтвердження відсутності підстав) повинен надати таку інформацію:</w:t>
            </w:r>
          </w:p>
        </w:tc>
      </w:tr>
      <w:tr w:rsidR="00E51AF1" w:rsidRPr="002F5697" w:rsidTr="005346A5">
        <w:trPr>
          <w:trHeight w:val="3178"/>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1</w:t>
            </w:r>
          </w:p>
        </w:tc>
        <w:tc>
          <w:tcPr>
            <w:tcW w:w="4489"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(пункт 3 частини 1 статті 17 Закону)</w:t>
            </w:r>
          </w:p>
        </w:tc>
        <w:tc>
          <w:tcPr>
            <w:tcW w:w="5008"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E51AF1">
              <w:rPr>
                <w:rFonts w:ascii="Times New Roman" w:eastAsia="Times New Roman" w:hAnsi="Times New Roman" w:cs="Times New Roman"/>
                <w:b/>
                <w:lang w:val="uk-UA"/>
              </w:rPr>
              <w:t>вебресурсі</w:t>
            </w:r>
            <w:proofErr w:type="spellEnd"/>
            <w:r w:rsidRPr="00E51AF1">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1AF1" w:rsidRPr="00E51AF1" w:rsidTr="005346A5">
        <w:trPr>
          <w:trHeight w:val="2194"/>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2</w:t>
            </w:r>
          </w:p>
        </w:tc>
        <w:tc>
          <w:tcPr>
            <w:tcW w:w="4489"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51AF1">
              <w:rPr>
                <w:rFonts w:ascii="Times New Roman" w:eastAsia="Times New Roman" w:hAnsi="Times New Roman" w:cs="Times New Roman"/>
                <w:b/>
                <w:lang w:val="uk-UA"/>
              </w:rPr>
              <w:t> (пункт 6 частини 1 статті 17 Закону)</w:t>
            </w:r>
          </w:p>
        </w:tc>
        <w:tc>
          <w:tcPr>
            <w:tcW w:w="5008" w:type="dxa"/>
            <w:vMerge w:val="restart"/>
            <w:tcMar>
              <w:top w:w="100" w:type="dxa"/>
              <w:left w:w="100" w:type="dxa"/>
              <w:bottom w:w="100" w:type="dxa"/>
              <w:right w:w="100" w:type="dxa"/>
            </w:tcMar>
          </w:tcPr>
          <w:p w:rsidR="00E11137" w:rsidRPr="00E51AF1" w:rsidRDefault="006B4A9F" w:rsidP="005346A5">
            <w:pPr>
              <w:spacing w:after="0" w:line="240" w:lineRule="auto"/>
              <w:jc w:val="both"/>
              <w:rPr>
                <w:rFonts w:ascii="Times New Roman" w:eastAsia="Times New Roman" w:hAnsi="Times New Roman" w:cs="Times New Roman"/>
                <w:b/>
                <w:lang w:val="uk-UA"/>
              </w:rPr>
            </w:pPr>
            <w:r w:rsidRPr="00E51AF1">
              <w:rPr>
                <w:rFonts w:ascii="Times New Roman" w:eastAsia="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p w:rsidR="00E11137" w:rsidRPr="00E51AF1" w:rsidRDefault="00E11137" w:rsidP="005346A5">
            <w:pPr>
              <w:spacing w:after="0" w:line="240" w:lineRule="auto"/>
              <w:jc w:val="both"/>
              <w:rPr>
                <w:rFonts w:ascii="Times New Roman" w:eastAsia="Times New Roman" w:hAnsi="Times New Roman" w:cs="Times New Roman"/>
                <w:b/>
                <w:lang w:val="uk-UA"/>
              </w:rPr>
            </w:pPr>
          </w:p>
          <w:p w:rsidR="00F0336D" w:rsidRPr="002F5697" w:rsidRDefault="006B4A9F" w:rsidP="005346A5">
            <w:pPr>
              <w:spacing w:after="0" w:line="240" w:lineRule="auto"/>
              <w:jc w:val="both"/>
              <w:rPr>
                <w:rFonts w:ascii="Times New Roman" w:eastAsia="Times New Roman" w:hAnsi="Times New Roman" w:cs="Times New Roman"/>
                <w:b/>
                <w:lang w:val="uk-UA"/>
              </w:rPr>
            </w:pPr>
            <w:r w:rsidRPr="002F5697">
              <w:rPr>
                <w:rFonts w:ascii="Times New Roman" w:eastAsia="Times New Roman" w:hAnsi="Times New Roman" w:cs="Times New Roman"/>
                <w:b/>
                <w:lang w:val="uk-UA"/>
              </w:rPr>
              <w:t xml:space="preserve">Документ повинен бути не більше </w:t>
            </w:r>
            <w:proofErr w:type="spellStart"/>
            <w:r w:rsidR="00803366" w:rsidRPr="002F5697">
              <w:rPr>
                <w:rFonts w:ascii="Times New Roman" w:eastAsia="Times New Roman" w:hAnsi="Times New Roman" w:cs="Times New Roman"/>
                <w:b/>
                <w:lang w:val="uk-UA"/>
              </w:rPr>
              <w:t>тридцяти</w:t>
            </w:r>
            <w:bookmarkStart w:id="0" w:name="_GoBack"/>
            <w:bookmarkEnd w:id="0"/>
            <w:r w:rsidR="00803366" w:rsidRPr="002F5697">
              <w:rPr>
                <w:rFonts w:ascii="Times New Roman" w:eastAsia="Times New Roman" w:hAnsi="Times New Roman" w:cs="Times New Roman"/>
                <w:b/>
                <w:lang w:val="uk-UA"/>
              </w:rPr>
              <w:t>денної</w:t>
            </w:r>
            <w:proofErr w:type="spellEnd"/>
            <w:r w:rsidRPr="002F5697">
              <w:rPr>
                <w:rFonts w:ascii="Times New Roman" w:eastAsia="Times New Roman" w:hAnsi="Times New Roman" w:cs="Times New Roman"/>
                <w:b/>
                <w:lang w:val="uk-UA"/>
              </w:rPr>
              <w:t xml:space="preserve"> давнини від дати подання документа. </w:t>
            </w:r>
          </w:p>
        </w:tc>
      </w:tr>
      <w:tr w:rsidR="00E51AF1" w:rsidRPr="00E51AF1" w:rsidTr="005346A5">
        <w:trPr>
          <w:trHeight w:val="2428"/>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4</w:t>
            </w:r>
          </w:p>
        </w:tc>
        <w:tc>
          <w:tcPr>
            <w:tcW w:w="4489"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51AF1">
              <w:rPr>
                <w:rFonts w:ascii="Times New Roman" w:eastAsia="Times New Roman" w:hAnsi="Times New Roman" w:cs="Times New Roman"/>
                <w:b/>
                <w:lang w:val="uk-UA"/>
              </w:rPr>
              <w:t xml:space="preserve"> (пункт 12 частини 1 статті 17 Закону)</w:t>
            </w:r>
          </w:p>
        </w:tc>
        <w:tc>
          <w:tcPr>
            <w:tcW w:w="5008" w:type="dxa"/>
            <w:vMerge/>
            <w:tcMar>
              <w:top w:w="100" w:type="dxa"/>
              <w:left w:w="100" w:type="dxa"/>
              <w:bottom w:w="100" w:type="dxa"/>
              <w:right w:w="100" w:type="dxa"/>
            </w:tcMar>
          </w:tcPr>
          <w:p w:rsidR="00F0336D" w:rsidRPr="00E51AF1" w:rsidRDefault="00F0336D" w:rsidP="005346A5">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p>
        </w:tc>
      </w:tr>
      <w:tr w:rsidR="00E51AF1" w:rsidRPr="002F5697" w:rsidTr="005346A5">
        <w:trPr>
          <w:trHeight w:val="720"/>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b/>
                <w:lang w:val="uk-UA"/>
              </w:rPr>
            </w:pPr>
            <w:r w:rsidRPr="00E51AF1">
              <w:rPr>
                <w:rFonts w:ascii="Times New Roman" w:eastAsia="Times New Roman" w:hAnsi="Times New Roman" w:cs="Times New Roman"/>
                <w:b/>
                <w:lang w:val="uk-UA"/>
              </w:rPr>
              <w:t>5</w:t>
            </w:r>
          </w:p>
        </w:tc>
        <w:tc>
          <w:tcPr>
            <w:tcW w:w="4489"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(частина 2 статті 17 Закону)</w:t>
            </w:r>
          </w:p>
        </w:tc>
        <w:tc>
          <w:tcPr>
            <w:tcW w:w="5008" w:type="dxa"/>
            <w:tcMar>
              <w:top w:w="100" w:type="dxa"/>
              <w:left w:w="100" w:type="dxa"/>
              <w:bottom w:w="100" w:type="dxa"/>
              <w:right w:w="100" w:type="dxa"/>
            </w:tcMar>
          </w:tcPr>
          <w:p w:rsidR="00F0336D" w:rsidRPr="00E51AF1" w:rsidRDefault="006B4A9F" w:rsidP="005346A5">
            <w:pPr>
              <w:spacing w:after="0" w:line="240" w:lineRule="auto"/>
              <w:ind w:left="88" w:right="42"/>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Довідка в довільній формі</w:t>
            </w:r>
            <w:r w:rsidRPr="00E51AF1">
              <w:rPr>
                <w:rFonts w:ascii="Times New Roman" w:eastAsia="Times New Roman" w:hAnsi="Times New Roman" w:cs="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41E9A" w:rsidRPr="00E51AF1" w:rsidRDefault="00241E9A" w:rsidP="005346A5">
      <w:pPr>
        <w:spacing w:after="0" w:line="240" w:lineRule="auto"/>
        <w:rPr>
          <w:rFonts w:ascii="Times New Roman" w:eastAsia="Times New Roman" w:hAnsi="Times New Roman" w:cs="Times New Roman"/>
          <w:b/>
          <w:sz w:val="24"/>
          <w:szCs w:val="24"/>
          <w:lang w:val="uk-UA"/>
        </w:rPr>
      </w:pPr>
    </w:p>
    <w:p w:rsidR="005346A5" w:rsidRPr="00E51AF1" w:rsidRDefault="005346A5" w:rsidP="005346A5">
      <w:pPr>
        <w:spacing w:after="0" w:line="240" w:lineRule="auto"/>
        <w:jc w:val="center"/>
        <w:rPr>
          <w:rFonts w:ascii="Times New Roman" w:eastAsia="Times New Roman" w:hAnsi="Times New Roman" w:cs="Times New Roman"/>
          <w:b/>
          <w:sz w:val="24"/>
          <w:szCs w:val="24"/>
          <w:lang w:val="uk-UA"/>
        </w:rPr>
      </w:pPr>
    </w:p>
    <w:p w:rsidR="005346A5" w:rsidRPr="00E51AF1" w:rsidRDefault="005346A5" w:rsidP="005346A5">
      <w:pPr>
        <w:spacing w:after="0" w:line="240" w:lineRule="auto"/>
        <w:jc w:val="center"/>
        <w:rPr>
          <w:rFonts w:ascii="Times New Roman" w:eastAsia="Times New Roman" w:hAnsi="Times New Roman" w:cs="Times New Roman"/>
          <w:b/>
          <w:sz w:val="24"/>
          <w:szCs w:val="24"/>
          <w:lang w:val="uk-UA"/>
        </w:rPr>
      </w:pPr>
    </w:p>
    <w:p w:rsidR="005346A5" w:rsidRPr="00E51AF1" w:rsidRDefault="005346A5" w:rsidP="005346A5">
      <w:pPr>
        <w:spacing w:after="0" w:line="240" w:lineRule="auto"/>
        <w:jc w:val="center"/>
        <w:rPr>
          <w:rFonts w:ascii="Times New Roman" w:eastAsia="Times New Roman" w:hAnsi="Times New Roman" w:cs="Times New Roman"/>
          <w:b/>
          <w:sz w:val="24"/>
          <w:szCs w:val="24"/>
          <w:lang w:val="uk-UA"/>
        </w:rPr>
      </w:pPr>
    </w:p>
    <w:p w:rsidR="005346A5" w:rsidRPr="00E51AF1" w:rsidRDefault="005346A5" w:rsidP="005346A5">
      <w:pPr>
        <w:spacing w:after="0" w:line="240" w:lineRule="auto"/>
        <w:jc w:val="center"/>
        <w:rPr>
          <w:rFonts w:ascii="Times New Roman" w:eastAsia="Times New Roman" w:hAnsi="Times New Roman" w:cs="Times New Roman"/>
          <w:b/>
          <w:sz w:val="24"/>
          <w:szCs w:val="24"/>
          <w:lang w:val="uk-UA"/>
        </w:rPr>
      </w:pPr>
    </w:p>
    <w:p w:rsidR="00F0336D" w:rsidRPr="00E51AF1" w:rsidRDefault="006B4A9F" w:rsidP="005346A5">
      <w:pPr>
        <w:spacing w:after="0" w:line="240" w:lineRule="auto"/>
        <w:jc w:val="center"/>
        <w:rPr>
          <w:rFonts w:ascii="Times New Roman" w:eastAsia="Times New Roman" w:hAnsi="Times New Roman" w:cs="Times New Roman"/>
          <w:sz w:val="24"/>
          <w:szCs w:val="24"/>
          <w:lang w:val="uk-UA"/>
        </w:rPr>
      </w:pPr>
      <w:r w:rsidRPr="00E51AF1">
        <w:rPr>
          <w:rFonts w:ascii="Times New Roman" w:eastAsia="Times New Roman" w:hAnsi="Times New Roman" w:cs="Times New Roman"/>
          <w:b/>
          <w:sz w:val="24"/>
          <w:szCs w:val="24"/>
          <w:lang w:val="uk-UA"/>
        </w:rPr>
        <w:lastRenderedPageBreak/>
        <w:t>3.2. Документи, які надаються ПЕРЕМОЖЦЕМ (фізичною особою чи фізичною особою — підприємцем):</w:t>
      </w:r>
    </w:p>
    <w:tbl>
      <w:tblPr>
        <w:tblStyle w:val="ac"/>
        <w:tblW w:w="9923" w:type="dxa"/>
        <w:tblInd w:w="1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426"/>
        <w:gridCol w:w="4536"/>
        <w:gridCol w:w="4961"/>
      </w:tblGrid>
      <w:tr w:rsidR="00E51AF1" w:rsidRPr="00E51AF1" w:rsidTr="005346A5">
        <w:trPr>
          <w:trHeight w:val="825"/>
        </w:trPr>
        <w:tc>
          <w:tcPr>
            <w:tcW w:w="426"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w:t>
            </w:r>
          </w:p>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з/п</w:t>
            </w:r>
          </w:p>
        </w:tc>
        <w:tc>
          <w:tcPr>
            <w:tcW w:w="4536"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ind w:left="41"/>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Вимоги статті 17 Закону</w:t>
            </w:r>
          </w:p>
        </w:tc>
        <w:tc>
          <w:tcPr>
            <w:tcW w:w="4961"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Переможець торгів на виконання вимоги статті 17 Закону (підтвердження відсутності підстав) повинен надати таку інформацію:</w:t>
            </w:r>
          </w:p>
        </w:tc>
      </w:tr>
      <w:tr w:rsidR="00E51AF1" w:rsidRPr="002F5697" w:rsidTr="005346A5">
        <w:trPr>
          <w:trHeight w:val="731"/>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1</w:t>
            </w:r>
          </w:p>
        </w:tc>
        <w:tc>
          <w:tcPr>
            <w:tcW w:w="4536" w:type="dxa"/>
            <w:tcMar>
              <w:top w:w="100" w:type="dxa"/>
              <w:left w:w="100" w:type="dxa"/>
              <w:bottom w:w="100" w:type="dxa"/>
              <w:right w:w="100" w:type="dxa"/>
            </w:tcMar>
          </w:tcPr>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(пункт 3 частини 1 статті 17 Закону)</w:t>
            </w:r>
          </w:p>
        </w:tc>
        <w:tc>
          <w:tcPr>
            <w:tcW w:w="4961"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51AF1">
              <w:rPr>
                <w:rFonts w:ascii="Times New Roman" w:eastAsia="Times New Roman" w:hAnsi="Times New Roman" w:cs="Times New Roman"/>
                <w:b/>
                <w:lang w:val="uk-UA"/>
              </w:rPr>
              <w:t>вебресурсі</w:t>
            </w:r>
            <w:proofErr w:type="spellEnd"/>
            <w:r w:rsidRPr="00E51AF1">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1AF1" w:rsidRPr="00E51AF1" w:rsidTr="005346A5">
        <w:trPr>
          <w:trHeight w:val="2152"/>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2</w:t>
            </w:r>
          </w:p>
        </w:tc>
        <w:tc>
          <w:tcPr>
            <w:tcW w:w="4536" w:type="dxa"/>
            <w:tcMar>
              <w:top w:w="100" w:type="dxa"/>
              <w:left w:w="100" w:type="dxa"/>
              <w:bottom w:w="100" w:type="dxa"/>
              <w:right w:w="100" w:type="dxa"/>
            </w:tcMar>
          </w:tcPr>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 (пункт 5 частини 1 статті 17 Закону)</w:t>
            </w:r>
          </w:p>
        </w:tc>
        <w:tc>
          <w:tcPr>
            <w:tcW w:w="4961" w:type="dxa"/>
            <w:vMerge w:val="restart"/>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51AF1">
              <w:rPr>
                <w:rFonts w:ascii="Times New Roman" w:eastAsia="Times New Roman" w:hAnsi="Times New Roman" w:cs="Times New Roman"/>
                <w:lang w:val="uk-UA"/>
              </w:rPr>
              <w:t xml:space="preserve">Документ повинен бути не більше </w:t>
            </w:r>
            <w:proofErr w:type="spellStart"/>
            <w:r w:rsidRPr="00E51AF1">
              <w:rPr>
                <w:rFonts w:ascii="Times New Roman" w:eastAsia="Times New Roman" w:hAnsi="Times New Roman" w:cs="Times New Roman"/>
                <w:lang w:val="uk-UA"/>
              </w:rPr>
              <w:t>тридцятиденної</w:t>
            </w:r>
            <w:proofErr w:type="spellEnd"/>
            <w:r w:rsidRPr="00E51AF1">
              <w:rPr>
                <w:rFonts w:ascii="Times New Roman" w:eastAsia="Times New Roman" w:hAnsi="Times New Roman" w:cs="Times New Roman"/>
                <w:lang w:val="uk-UA"/>
              </w:rPr>
              <w:t xml:space="preserve"> давнини від дати подання документа. </w:t>
            </w:r>
          </w:p>
        </w:tc>
      </w:tr>
      <w:tr w:rsidR="00E51AF1" w:rsidRPr="00E51AF1" w:rsidTr="005346A5">
        <w:trPr>
          <w:trHeight w:val="1635"/>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4</w:t>
            </w:r>
          </w:p>
        </w:tc>
        <w:tc>
          <w:tcPr>
            <w:tcW w:w="4536" w:type="dxa"/>
            <w:tcMar>
              <w:top w:w="100" w:type="dxa"/>
              <w:left w:w="100" w:type="dxa"/>
              <w:bottom w:w="100" w:type="dxa"/>
              <w:right w:w="100" w:type="dxa"/>
            </w:tcMar>
          </w:tcPr>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(пункт 12 частини 1 статті 17 Закону)</w:t>
            </w:r>
          </w:p>
        </w:tc>
        <w:tc>
          <w:tcPr>
            <w:tcW w:w="4961" w:type="dxa"/>
            <w:vMerge/>
            <w:tcMar>
              <w:top w:w="100" w:type="dxa"/>
              <w:left w:w="100" w:type="dxa"/>
              <w:bottom w:w="100" w:type="dxa"/>
              <w:right w:w="100" w:type="dxa"/>
            </w:tcMar>
          </w:tcPr>
          <w:p w:rsidR="00F0336D" w:rsidRPr="00E51AF1" w:rsidRDefault="00F0336D" w:rsidP="005346A5">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p>
        </w:tc>
      </w:tr>
      <w:tr w:rsidR="00E51AF1" w:rsidRPr="002F5697" w:rsidTr="005346A5">
        <w:trPr>
          <w:trHeight w:val="862"/>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b/>
                <w:lang w:val="uk-UA"/>
              </w:rPr>
            </w:pPr>
            <w:r w:rsidRPr="00E51AF1">
              <w:rPr>
                <w:rFonts w:ascii="Times New Roman" w:eastAsia="Times New Roman" w:hAnsi="Times New Roman" w:cs="Times New Roman"/>
                <w:b/>
                <w:lang w:val="uk-UA"/>
              </w:rPr>
              <w:t>5</w:t>
            </w:r>
          </w:p>
        </w:tc>
        <w:tc>
          <w:tcPr>
            <w:tcW w:w="4536" w:type="dxa"/>
            <w:tcMar>
              <w:top w:w="100" w:type="dxa"/>
              <w:left w:w="100" w:type="dxa"/>
              <w:bottom w:w="100" w:type="dxa"/>
              <w:right w:w="100" w:type="dxa"/>
            </w:tcMar>
          </w:tcPr>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(частина 2 статті 17 Закону)</w:t>
            </w:r>
          </w:p>
        </w:tc>
        <w:tc>
          <w:tcPr>
            <w:tcW w:w="4961"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Довідка в довільній формі</w:t>
            </w:r>
            <w:r w:rsidRPr="00E51AF1">
              <w:rPr>
                <w:rFonts w:ascii="Times New Roman" w:eastAsia="Times New Roman" w:hAnsi="Times New Roman" w:cs="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0336D" w:rsidRPr="00E51AF1" w:rsidRDefault="006B4A9F" w:rsidP="005346A5">
      <w:pPr>
        <w:shd w:val="clear" w:color="auto" w:fill="FFFFFF"/>
        <w:spacing w:after="0" w:line="240" w:lineRule="auto"/>
        <w:jc w:val="both"/>
        <w:rPr>
          <w:rFonts w:ascii="Times New Roman" w:eastAsia="Times New Roman" w:hAnsi="Times New Roman" w:cs="Times New Roman"/>
          <w:sz w:val="24"/>
          <w:szCs w:val="24"/>
          <w:lang w:val="uk-UA"/>
        </w:rPr>
      </w:pPr>
      <w:r w:rsidRPr="00E51AF1">
        <w:rPr>
          <w:rFonts w:ascii="Times New Roman" w:eastAsia="Times New Roman" w:hAnsi="Times New Roman" w:cs="Times New Roman"/>
          <w:b/>
          <w:i/>
          <w:sz w:val="24"/>
          <w:szCs w:val="24"/>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0336D" w:rsidRPr="00E51AF1" w:rsidRDefault="006B4A9F" w:rsidP="005346A5">
      <w:pPr>
        <w:shd w:val="clear" w:color="auto" w:fill="FFFFFF"/>
        <w:spacing w:after="0" w:line="240" w:lineRule="auto"/>
        <w:rPr>
          <w:rFonts w:ascii="Times New Roman" w:eastAsia="Times New Roman" w:hAnsi="Times New Roman" w:cs="Times New Roman"/>
          <w:sz w:val="24"/>
          <w:szCs w:val="24"/>
          <w:lang w:val="uk-UA"/>
        </w:rPr>
      </w:pPr>
      <w:r w:rsidRPr="00E51AF1">
        <w:rPr>
          <w:rFonts w:ascii="Times New Roman" w:eastAsia="Times New Roman" w:hAnsi="Times New Roman" w:cs="Times New Roman"/>
          <w:sz w:val="24"/>
          <w:szCs w:val="24"/>
          <w:lang w:val="uk-UA"/>
        </w:rPr>
        <w:t> </w:t>
      </w:r>
    </w:p>
    <w:p w:rsidR="005346A5" w:rsidRPr="00E51AF1" w:rsidRDefault="005346A5" w:rsidP="005346A5">
      <w:pPr>
        <w:shd w:val="clear" w:color="auto" w:fill="FFFFFF"/>
        <w:spacing w:after="0" w:line="240" w:lineRule="auto"/>
        <w:rPr>
          <w:rFonts w:ascii="Times New Roman" w:eastAsia="Times New Roman" w:hAnsi="Times New Roman" w:cs="Times New Roman"/>
          <w:b/>
          <w:sz w:val="24"/>
          <w:szCs w:val="24"/>
          <w:lang w:val="uk-UA"/>
        </w:rPr>
      </w:pPr>
    </w:p>
    <w:p w:rsidR="005346A5" w:rsidRPr="00E51AF1" w:rsidRDefault="005346A5" w:rsidP="005346A5">
      <w:pPr>
        <w:shd w:val="clear" w:color="auto" w:fill="FFFFFF"/>
        <w:spacing w:after="0" w:line="240" w:lineRule="auto"/>
        <w:rPr>
          <w:rFonts w:ascii="Times New Roman" w:eastAsia="Times New Roman" w:hAnsi="Times New Roman" w:cs="Times New Roman"/>
          <w:b/>
          <w:sz w:val="24"/>
          <w:szCs w:val="24"/>
          <w:lang w:val="uk-UA"/>
        </w:rPr>
      </w:pPr>
    </w:p>
    <w:p w:rsidR="005346A5" w:rsidRPr="00E51AF1" w:rsidRDefault="005346A5" w:rsidP="005346A5">
      <w:pPr>
        <w:shd w:val="clear" w:color="auto" w:fill="FFFFFF"/>
        <w:spacing w:after="0" w:line="240" w:lineRule="auto"/>
        <w:rPr>
          <w:rFonts w:ascii="Times New Roman" w:eastAsia="Times New Roman" w:hAnsi="Times New Roman" w:cs="Times New Roman"/>
          <w:b/>
          <w:sz w:val="24"/>
          <w:szCs w:val="24"/>
          <w:lang w:val="uk-UA"/>
        </w:rPr>
      </w:pPr>
    </w:p>
    <w:p w:rsidR="00F0336D" w:rsidRPr="00E744AD" w:rsidRDefault="006B4A9F" w:rsidP="005346A5">
      <w:pPr>
        <w:shd w:val="clear" w:color="auto" w:fill="FFFFFF"/>
        <w:spacing w:after="0" w:line="240" w:lineRule="auto"/>
        <w:rPr>
          <w:rFonts w:ascii="Times New Roman" w:eastAsia="Times New Roman" w:hAnsi="Times New Roman" w:cs="Times New Roman"/>
          <w:b/>
          <w:sz w:val="24"/>
          <w:szCs w:val="24"/>
          <w:lang w:val="uk-UA"/>
        </w:rPr>
      </w:pPr>
      <w:r w:rsidRPr="00E744AD">
        <w:rPr>
          <w:rFonts w:ascii="Times New Roman" w:eastAsia="Times New Roman" w:hAnsi="Times New Roman" w:cs="Times New Roman"/>
          <w:b/>
          <w:sz w:val="24"/>
          <w:szCs w:val="24"/>
          <w:lang w:val="uk-UA"/>
        </w:rPr>
        <w:lastRenderedPageBreak/>
        <w:t>Інша інформація встановлена відповідно до законодавства (для УЧАСНИКІВ — юридичних осіб, фізичних осіб та фізичних осіб — підприємців).</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8"/>
        <w:gridCol w:w="9625"/>
      </w:tblGrid>
      <w:tr w:rsidR="00E744AD" w:rsidRPr="00E744AD" w:rsidTr="005346A5">
        <w:trPr>
          <w:trHeight w:val="124"/>
        </w:trPr>
        <w:tc>
          <w:tcPr>
            <w:tcW w:w="0" w:type="auto"/>
            <w:gridSpan w:val="2"/>
            <w:shd w:val="clear" w:color="auto" w:fill="CCCCCC"/>
            <w:tcMar>
              <w:top w:w="100" w:type="dxa"/>
              <w:left w:w="100" w:type="dxa"/>
              <w:bottom w:w="100" w:type="dxa"/>
              <w:right w:w="100" w:type="dxa"/>
            </w:tcMar>
            <w:hideMark/>
          </w:tcPr>
          <w:p w:rsidR="00F16FAE" w:rsidRPr="00E744AD" w:rsidRDefault="00F16FAE" w:rsidP="005346A5">
            <w:pPr>
              <w:spacing w:after="0" w:line="240" w:lineRule="auto"/>
              <w:ind w:left="100" w:firstLine="737"/>
              <w:jc w:val="center"/>
              <w:rPr>
                <w:rFonts w:ascii="Times New Roman" w:hAnsi="Times New Roman" w:cs="Times New Roman"/>
                <w:sz w:val="24"/>
                <w:szCs w:val="24"/>
                <w:lang w:val="uk-UA"/>
              </w:rPr>
            </w:pPr>
            <w:r w:rsidRPr="00E744AD">
              <w:rPr>
                <w:rFonts w:ascii="Times New Roman" w:hAnsi="Times New Roman" w:cs="Times New Roman"/>
                <w:b/>
                <w:bCs/>
                <w:lang w:val="uk-UA"/>
              </w:rPr>
              <w:t>Інші документи від Учасника:</w:t>
            </w:r>
          </w:p>
        </w:tc>
      </w:tr>
      <w:tr w:rsidR="00E744AD" w:rsidRPr="002F5697" w:rsidTr="00E744AD">
        <w:trPr>
          <w:trHeight w:val="824"/>
        </w:trPr>
        <w:tc>
          <w:tcPr>
            <w:tcW w:w="0" w:type="auto"/>
            <w:tcMar>
              <w:top w:w="100" w:type="dxa"/>
              <w:left w:w="100" w:type="dxa"/>
              <w:bottom w:w="100" w:type="dxa"/>
              <w:right w:w="100" w:type="dxa"/>
            </w:tcMar>
            <w:hideMark/>
          </w:tcPr>
          <w:p w:rsidR="00F16FAE" w:rsidRPr="00E744AD" w:rsidRDefault="00F16FAE" w:rsidP="005346A5">
            <w:pPr>
              <w:spacing w:after="0" w:line="240" w:lineRule="auto"/>
              <w:ind w:left="100" w:firstLine="737"/>
              <w:rPr>
                <w:rFonts w:ascii="Times New Roman" w:hAnsi="Times New Roman" w:cs="Times New Roman"/>
                <w:b/>
                <w:bCs/>
                <w:lang w:val="uk-UA"/>
              </w:rPr>
            </w:pPr>
            <w:r w:rsidRPr="00E744AD">
              <w:rPr>
                <w:rFonts w:ascii="Times New Roman" w:hAnsi="Times New Roman" w:cs="Times New Roman"/>
                <w:b/>
                <w:bCs/>
                <w:lang w:val="uk-UA"/>
              </w:rPr>
              <w:t>11</w:t>
            </w:r>
          </w:p>
        </w:tc>
        <w:tc>
          <w:tcPr>
            <w:tcW w:w="0" w:type="auto"/>
            <w:tcMar>
              <w:top w:w="100" w:type="dxa"/>
              <w:left w:w="100" w:type="dxa"/>
              <w:bottom w:w="100" w:type="dxa"/>
              <w:right w:w="100" w:type="dxa"/>
            </w:tcMar>
            <w:hideMark/>
          </w:tcPr>
          <w:p w:rsidR="00AB42A3" w:rsidRPr="00AB42A3" w:rsidRDefault="00AB42A3" w:rsidP="00AB42A3">
            <w:pPr>
              <w:spacing w:after="0" w:line="240" w:lineRule="auto"/>
              <w:jc w:val="both"/>
              <w:rPr>
                <w:rFonts w:ascii="Times New Roman" w:hAnsi="Times New Roman" w:cs="Times New Roman"/>
                <w:lang w:val="uk-UA"/>
              </w:rPr>
            </w:pPr>
            <w:r w:rsidRPr="00AB42A3">
              <w:rPr>
                <w:rFonts w:ascii="Times New Roman" w:hAnsi="Times New Roman" w:cs="Times New Roman"/>
                <w:lang w:val="uk-UA"/>
              </w:rPr>
              <w:t>Правомочність на укладення договору про закупівлю та підписання тендерних пропозиції:</w:t>
            </w:r>
          </w:p>
          <w:p w:rsidR="00AB42A3" w:rsidRPr="00AB42A3" w:rsidRDefault="00AB42A3" w:rsidP="00AB42A3">
            <w:pPr>
              <w:spacing w:after="0" w:line="240" w:lineRule="auto"/>
              <w:jc w:val="both"/>
              <w:rPr>
                <w:rFonts w:ascii="Times New Roman" w:hAnsi="Times New Roman" w:cs="Times New Roman"/>
                <w:b/>
                <w:lang w:val="uk-UA"/>
              </w:rPr>
            </w:pPr>
            <w:r w:rsidRPr="00AB42A3">
              <w:rPr>
                <w:rFonts w:ascii="Times New Roman" w:hAnsi="Times New Roman" w:cs="Times New Roman"/>
                <w:b/>
                <w:lang w:val="uk-UA"/>
              </w:rPr>
              <w:t>Для юридичних осіб:</w:t>
            </w:r>
          </w:p>
          <w:p w:rsidR="00AB42A3" w:rsidRPr="00AB42A3" w:rsidRDefault="00AB42A3" w:rsidP="00AB42A3">
            <w:pPr>
              <w:spacing w:after="0" w:line="240" w:lineRule="auto"/>
              <w:jc w:val="both"/>
              <w:rPr>
                <w:rFonts w:ascii="Times New Roman" w:hAnsi="Times New Roman" w:cs="Times New Roman"/>
                <w:lang w:val="uk-UA"/>
              </w:rPr>
            </w:pPr>
            <w:r w:rsidRPr="00AB42A3">
              <w:rPr>
                <w:rFonts w:ascii="Times New Roman" w:hAnsi="Times New Roman" w:cs="Times New Roman"/>
                <w:lang w:val="uk-UA"/>
              </w:rPr>
              <w:t>1.1. Інформаційна довідка, щодо осіб, які мають право підписувати документи тендерної пропозиції та укладати договори (угоди), про закупівлю</w:t>
            </w:r>
          </w:p>
          <w:p w:rsidR="00AB42A3" w:rsidRPr="00AB42A3" w:rsidRDefault="00AB42A3" w:rsidP="00AB42A3">
            <w:pPr>
              <w:spacing w:after="0" w:line="240" w:lineRule="auto"/>
              <w:jc w:val="both"/>
              <w:rPr>
                <w:rFonts w:ascii="Times New Roman" w:hAnsi="Times New Roman" w:cs="Times New Roman"/>
                <w:lang w:val="uk-UA"/>
              </w:rPr>
            </w:pPr>
            <w:r w:rsidRPr="00AB42A3">
              <w:rPr>
                <w:rFonts w:ascii="Times New Roman" w:hAnsi="Times New Roman" w:cs="Times New Roman"/>
                <w:lang w:val="uk-UA"/>
              </w:rPr>
              <w:t>1.2. Копія документу(</w:t>
            </w:r>
            <w:proofErr w:type="spellStart"/>
            <w:r w:rsidRPr="00AB42A3">
              <w:rPr>
                <w:rFonts w:ascii="Times New Roman" w:hAnsi="Times New Roman" w:cs="Times New Roman"/>
                <w:lang w:val="uk-UA"/>
              </w:rPr>
              <w:t>ів</w:t>
            </w:r>
            <w:proofErr w:type="spellEnd"/>
            <w:r w:rsidRPr="00AB42A3">
              <w:rPr>
                <w:rFonts w:ascii="Times New Roman" w:hAnsi="Times New Roman" w:cs="Times New Roman"/>
                <w:lang w:val="uk-UA"/>
              </w:rPr>
              <w:t>), що підтверджує повноваження особи, на підпис тендерної пропозиції та повноваження на підписання договору про закупівлю (один із запропонованих документів, на вибір учасника):</w:t>
            </w:r>
          </w:p>
          <w:p w:rsidR="00AB42A3" w:rsidRPr="00AB42A3" w:rsidRDefault="00AB42A3" w:rsidP="00AB42A3">
            <w:pPr>
              <w:spacing w:after="0" w:line="240" w:lineRule="auto"/>
              <w:jc w:val="both"/>
              <w:rPr>
                <w:rFonts w:ascii="Times New Roman" w:hAnsi="Times New Roman" w:cs="Times New Roman"/>
                <w:lang w:val="uk-UA"/>
              </w:rPr>
            </w:pPr>
            <w:r w:rsidRPr="00AB42A3">
              <w:rPr>
                <w:rFonts w:ascii="Times New Roman" w:hAnsi="Times New Roman" w:cs="Times New Roman"/>
                <w:lang w:val="uk-UA"/>
              </w:rPr>
              <w:t>- виписка з протоколу засновників або копія протоколу засновників;</w:t>
            </w:r>
          </w:p>
          <w:p w:rsidR="00AB42A3" w:rsidRPr="00AB42A3" w:rsidRDefault="00AB42A3" w:rsidP="00AB42A3">
            <w:pPr>
              <w:spacing w:after="0" w:line="240" w:lineRule="auto"/>
              <w:jc w:val="both"/>
              <w:rPr>
                <w:rFonts w:ascii="Times New Roman" w:hAnsi="Times New Roman" w:cs="Times New Roman"/>
                <w:lang w:val="uk-UA"/>
              </w:rPr>
            </w:pPr>
            <w:r w:rsidRPr="00AB42A3">
              <w:rPr>
                <w:rFonts w:ascii="Times New Roman" w:hAnsi="Times New Roman" w:cs="Times New Roman"/>
                <w:lang w:val="uk-UA"/>
              </w:rPr>
              <w:t>- наказ про призначення;</w:t>
            </w:r>
          </w:p>
          <w:p w:rsidR="00AB42A3" w:rsidRPr="00AB42A3" w:rsidRDefault="00AB42A3" w:rsidP="00AB42A3">
            <w:pPr>
              <w:spacing w:after="0" w:line="240" w:lineRule="auto"/>
              <w:jc w:val="both"/>
              <w:rPr>
                <w:rFonts w:ascii="Times New Roman" w:hAnsi="Times New Roman" w:cs="Times New Roman"/>
                <w:lang w:val="uk-UA"/>
              </w:rPr>
            </w:pPr>
            <w:r w:rsidRPr="00AB42A3">
              <w:rPr>
                <w:rFonts w:ascii="Times New Roman" w:hAnsi="Times New Roman" w:cs="Times New Roman"/>
                <w:lang w:val="uk-UA"/>
              </w:rPr>
              <w:t xml:space="preserve">- довіреність або доручення; </w:t>
            </w:r>
          </w:p>
          <w:p w:rsidR="00AB42A3" w:rsidRPr="00AB42A3" w:rsidRDefault="00AB42A3" w:rsidP="00AB42A3">
            <w:pPr>
              <w:spacing w:after="0" w:line="240" w:lineRule="auto"/>
              <w:jc w:val="both"/>
              <w:rPr>
                <w:rFonts w:ascii="Times New Roman" w:hAnsi="Times New Roman" w:cs="Times New Roman"/>
                <w:lang w:val="uk-UA"/>
              </w:rPr>
            </w:pPr>
            <w:r w:rsidRPr="00AB42A3">
              <w:rPr>
                <w:rFonts w:ascii="Times New Roman" w:hAnsi="Times New Roman" w:cs="Times New Roman"/>
                <w:lang w:val="uk-UA"/>
              </w:rPr>
              <w:t>- інший документ, що підтверджує повноваження посадової особи учасника на підписання документів.</w:t>
            </w:r>
          </w:p>
          <w:p w:rsidR="00AB42A3" w:rsidRPr="00AB42A3" w:rsidRDefault="00AB42A3" w:rsidP="00AB42A3">
            <w:pPr>
              <w:spacing w:after="0" w:line="240" w:lineRule="auto"/>
              <w:jc w:val="both"/>
              <w:rPr>
                <w:rFonts w:ascii="Times New Roman" w:hAnsi="Times New Roman" w:cs="Times New Roman"/>
                <w:lang w:val="uk-UA"/>
              </w:rPr>
            </w:pPr>
            <w:r w:rsidRPr="00AB42A3">
              <w:rPr>
                <w:rFonts w:ascii="Times New Roman" w:hAnsi="Times New Roman" w:cs="Times New Roman"/>
                <w:lang w:val="uk-UA"/>
              </w:rPr>
              <w:t>1.3. Копія Статуту із змінами (в разі їх наявності)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AB42A3" w:rsidRPr="00AB42A3" w:rsidRDefault="00AB42A3" w:rsidP="00AB42A3">
            <w:pPr>
              <w:spacing w:after="0" w:line="240" w:lineRule="auto"/>
              <w:jc w:val="both"/>
              <w:rPr>
                <w:rFonts w:ascii="Times New Roman" w:hAnsi="Times New Roman" w:cs="Times New Roman"/>
                <w:b/>
                <w:lang w:val="uk-UA"/>
              </w:rPr>
            </w:pPr>
            <w:r w:rsidRPr="00AB42A3">
              <w:rPr>
                <w:rFonts w:ascii="Times New Roman" w:hAnsi="Times New Roman" w:cs="Times New Roman"/>
                <w:b/>
                <w:lang w:val="uk-UA"/>
              </w:rPr>
              <w:t>Для фізичних осіб-підприємців:</w:t>
            </w:r>
          </w:p>
          <w:p w:rsidR="00F16FAE" w:rsidRPr="00E744AD" w:rsidRDefault="00AB42A3" w:rsidP="00AB42A3">
            <w:pPr>
              <w:spacing w:after="0" w:line="240" w:lineRule="auto"/>
              <w:jc w:val="both"/>
              <w:rPr>
                <w:rFonts w:ascii="Times New Roman" w:hAnsi="Times New Roman" w:cs="Times New Roman"/>
                <w:sz w:val="24"/>
                <w:lang w:val="uk-UA" w:eastAsia="ru-RU"/>
              </w:rPr>
            </w:pPr>
            <w:r w:rsidRPr="00AB42A3">
              <w:rPr>
                <w:rFonts w:ascii="Times New Roman" w:hAnsi="Times New Roman" w:cs="Times New Roman"/>
                <w:lang w:val="uk-UA"/>
              </w:rPr>
              <w:t>1.4. Копія паспорта (сторінки 1, 2, 3 та сторінки із зазначенням місця проживання) та довідки при присвоєння ідентифікаційного коду (для фізичних осіб) та/або ID картка;</w:t>
            </w:r>
          </w:p>
        </w:tc>
      </w:tr>
      <w:tr w:rsidR="00E744AD" w:rsidRPr="00E744AD" w:rsidTr="00AB42A3">
        <w:trPr>
          <w:trHeight w:val="1148"/>
        </w:trPr>
        <w:tc>
          <w:tcPr>
            <w:tcW w:w="0" w:type="auto"/>
            <w:tcMar>
              <w:top w:w="100" w:type="dxa"/>
              <w:left w:w="100" w:type="dxa"/>
              <w:bottom w:w="100" w:type="dxa"/>
              <w:right w:w="100" w:type="dxa"/>
            </w:tcMar>
            <w:hideMark/>
          </w:tcPr>
          <w:p w:rsidR="00F16FAE" w:rsidRPr="00E744AD" w:rsidRDefault="00F16FAE" w:rsidP="005346A5">
            <w:pPr>
              <w:spacing w:after="0" w:line="240" w:lineRule="auto"/>
              <w:ind w:left="100" w:firstLine="737"/>
              <w:rPr>
                <w:rFonts w:ascii="Times New Roman" w:hAnsi="Times New Roman" w:cs="Times New Roman"/>
                <w:b/>
                <w:bCs/>
                <w:lang w:val="uk-UA"/>
              </w:rPr>
            </w:pPr>
            <w:r w:rsidRPr="00E744AD">
              <w:rPr>
                <w:rFonts w:ascii="Times New Roman" w:hAnsi="Times New Roman" w:cs="Times New Roman"/>
                <w:b/>
                <w:bCs/>
                <w:lang w:val="uk-UA"/>
              </w:rPr>
              <w:t>22</w:t>
            </w:r>
          </w:p>
        </w:tc>
        <w:tc>
          <w:tcPr>
            <w:tcW w:w="0" w:type="auto"/>
            <w:tcMar>
              <w:top w:w="100" w:type="dxa"/>
              <w:left w:w="100" w:type="dxa"/>
              <w:bottom w:w="100" w:type="dxa"/>
              <w:right w:w="100" w:type="dxa"/>
            </w:tcMar>
            <w:hideMark/>
          </w:tcPr>
          <w:p w:rsidR="00F16FAE" w:rsidRPr="00E744AD" w:rsidRDefault="00E744AD" w:rsidP="005346A5">
            <w:pPr>
              <w:pStyle w:val="af1"/>
              <w:jc w:val="both"/>
              <w:rPr>
                <w:rFonts w:ascii="Times New Roman" w:hAnsi="Times New Roman" w:cs="Times New Roman"/>
                <w:lang w:val="uk-UA"/>
              </w:rPr>
            </w:pPr>
            <w:r w:rsidRPr="00E744AD">
              <w:rPr>
                <w:rFonts w:ascii="Times New Roman" w:hAnsi="Times New Roman" w:cs="Times New Roman"/>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E744AD" w:rsidRPr="002F5697" w:rsidTr="00E744AD">
        <w:trPr>
          <w:trHeight w:val="3906"/>
        </w:trPr>
        <w:tc>
          <w:tcPr>
            <w:tcW w:w="0" w:type="auto"/>
            <w:tcMar>
              <w:top w:w="100" w:type="dxa"/>
              <w:left w:w="100" w:type="dxa"/>
              <w:bottom w:w="100" w:type="dxa"/>
              <w:right w:w="100" w:type="dxa"/>
            </w:tcMar>
            <w:hideMark/>
          </w:tcPr>
          <w:p w:rsidR="00F16FAE" w:rsidRPr="00E744AD" w:rsidRDefault="00E744AD" w:rsidP="00E744AD">
            <w:pPr>
              <w:spacing w:after="0" w:line="240" w:lineRule="auto"/>
              <w:jc w:val="center"/>
              <w:rPr>
                <w:rFonts w:ascii="Times New Roman" w:hAnsi="Times New Roman" w:cs="Times New Roman"/>
                <w:b/>
                <w:bCs/>
                <w:lang w:val="uk-UA"/>
              </w:rPr>
            </w:pPr>
            <w:r w:rsidRPr="00E744AD">
              <w:rPr>
                <w:rFonts w:ascii="Times New Roman" w:hAnsi="Times New Roman" w:cs="Times New Roman"/>
                <w:b/>
                <w:bCs/>
                <w:lang w:val="uk-UA"/>
              </w:rPr>
              <w:t>3</w:t>
            </w:r>
          </w:p>
        </w:tc>
        <w:tc>
          <w:tcPr>
            <w:tcW w:w="0" w:type="auto"/>
            <w:tcMar>
              <w:top w:w="100" w:type="dxa"/>
              <w:left w:w="100" w:type="dxa"/>
              <w:bottom w:w="100" w:type="dxa"/>
              <w:right w:w="100" w:type="dxa"/>
            </w:tcMar>
            <w:hideMark/>
          </w:tcPr>
          <w:p w:rsidR="00F16FAE" w:rsidRPr="00E744AD" w:rsidRDefault="00E744AD" w:rsidP="00E744AD">
            <w:pPr>
              <w:spacing w:after="0" w:line="240" w:lineRule="auto"/>
              <w:ind w:right="120"/>
              <w:jc w:val="both"/>
              <w:rPr>
                <w:rFonts w:ascii="Times New Roman" w:hAnsi="Times New Roman" w:cs="Times New Roman"/>
                <w:sz w:val="24"/>
                <w:lang w:val="uk-UA" w:eastAsia="ru-RU"/>
              </w:rPr>
            </w:pPr>
            <w:r w:rsidRPr="00E744AD">
              <w:rPr>
                <w:rFonts w:ascii="Times New Roman" w:hAnsi="Times New Roman" w:cs="Times New Roman"/>
                <w:sz w:val="24"/>
                <w:lang w:val="uk-UA" w:eastAsia="ru-RU"/>
              </w:rPr>
              <w:t xml:space="preserve">Інформація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744AD">
              <w:rPr>
                <w:rFonts w:ascii="Times New Roman" w:hAnsi="Times New Roman" w:cs="Times New Roman"/>
                <w:sz w:val="24"/>
                <w:lang w:val="uk-UA" w:eastAsia="ru-RU"/>
              </w:rPr>
              <w:t>бенефіціарним</w:t>
            </w:r>
            <w:proofErr w:type="spellEnd"/>
            <w:r w:rsidRPr="00E744AD">
              <w:rPr>
                <w:rFonts w:ascii="Times New Roman" w:hAnsi="Times New Roman" w:cs="Times New Roman"/>
                <w:sz w:val="24"/>
                <w:lang w:val="uk-UA" w:eastAsia="ru-RU"/>
              </w:rPr>
              <w:t xml:space="preserve"> власником (</w:t>
            </w:r>
            <w:proofErr w:type="spellStart"/>
            <w:r w:rsidRPr="00E744AD">
              <w:rPr>
                <w:rFonts w:ascii="Times New Roman" w:hAnsi="Times New Roman" w:cs="Times New Roman"/>
                <w:sz w:val="24"/>
                <w:lang w:val="uk-UA" w:eastAsia="ru-RU"/>
              </w:rPr>
              <w:t>власником</w:t>
            </w:r>
            <w:proofErr w:type="spellEnd"/>
            <w:r w:rsidRPr="00E744AD">
              <w:rPr>
                <w:rFonts w:ascii="Times New Roman" w:hAnsi="Times New Roman" w:cs="Times New Roman"/>
                <w:sz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E744AD" w:rsidRPr="00E744AD" w:rsidTr="005346A5">
        <w:trPr>
          <w:trHeight w:val="580"/>
        </w:trPr>
        <w:tc>
          <w:tcPr>
            <w:tcW w:w="0" w:type="auto"/>
            <w:tcMar>
              <w:top w:w="100" w:type="dxa"/>
              <w:left w:w="100" w:type="dxa"/>
              <w:bottom w:w="100" w:type="dxa"/>
              <w:right w:w="100" w:type="dxa"/>
            </w:tcMar>
            <w:hideMark/>
          </w:tcPr>
          <w:p w:rsidR="00F16FAE" w:rsidRPr="00E744AD" w:rsidRDefault="00E744AD" w:rsidP="005346A5">
            <w:pPr>
              <w:spacing w:after="0" w:line="240" w:lineRule="auto"/>
              <w:jc w:val="center"/>
              <w:rPr>
                <w:rFonts w:ascii="Times New Roman" w:hAnsi="Times New Roman" w:cs="Times New Roman"/>
                <w:b/>
                <w:bCs/>
                <w:lang w:val="uk-UA"/>
              </w:rPr>
            </w:pPr>
            <w:r w:rsidRPr="00E744AD">
              <w:rPr>
                <w:rFonts w:ascii="Times New Roman" w:hAnsi="Times New Roman" w:cs="Times New Roman"/>
                <w:b/>
                <w:bCs/>
                <w:lang w:val="uk-UA"/>
              </w:rPr>
              <w:t>4</w:t>
            </w:r>
          </w:p>
        </w:tc>
        <w:tc>
          <w:tcPr>
            <w:tcW w:w="0" w:type="auto"/>
            <w:tcMar>
              <w:top w:w="100" w:type="dxa"/>
              <w:left w:w="100" w:type="dxa"/>
              <w:bottom w:w="100" w:type="dxa"/>
              <w:right w:w="100" w:type="dxa"/>
            </w:tcMar>
            <w:hideMark/>
          </w:tcPr>
          <w:p w:rsidR="00F16FAE" w:rsidRPr="00E744AD" w:rsidRDefault="004E6120" w:rsidP="005346A5">
            <w:pPr>
              <w:spacing w:after="0" w:line="240" w:lineRule="auto"/>
              <w:ind w:left="100" w:right="120" w:hanging="20"/>
              <w:jc w:val="both"/>
              <w:rPr>
                <w:rFonts w:ascii="Times New Roman" w:hAnsi="Times New Roman" w:cs="Times New Roman"/>
                <w:sz w:val="24"/>
                <w:lang w:val="uk-UA"/>
              </w:rPr>
            </w:pPr>
            <w:r w:rsidRPr="00E744AD">
              <w:rPr>
                <w:rFonts w:ascii="Times New Roman" w:hAnsi="Times New Roman" w:cs="Times New Roman"/>
                <w:sz w:val="24"/>
                <w:lang w:val="uk-UA" w:eastAsia="ru-RU"/>
              </w:rPr>
              <w:t>У складі пропозиції Учасник надає гарантійний лист про дотримання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tc>
      </w:tr>
      <w:tr w:rsidR="00E744AD" w:rsidRPr="00E744AD" w:rsidTr="005346A5">
        <w:trPr>
          <w:trHeight w:val="502"/>
        </w:trPr>
        <w:tc>
          <w:tcPr>
            <w:tcW w:w="0" w:type="auto"/>
            <w:tcMar>
              <w:top w:w="100" w:type="dxa"/>
              <w:left w:w="100" w:type="dxa"/>
              <w:bottom w:w="100" w:type="dxa"/>
              <w:right w:w="100" w:type="dxa"/>
            </w:tcMar>
            <w:hideMark/>
          </w:tcPr>
          <w:p w:rsidR="00F16FAE" w:rsidRPr="00E744AD" w:rsidRDefault="00E744AD" w:rsidP="005346A5">
            <w:pPr>
              <w:spacing w:after="0" w:line="240" w:lineRule="auto"/>
              <w:jc w:val="center"/>
              <w:rPr>
                <w:rFonts w:ascii="Times New Roman" w:hAnsi="Times New Roman" w:cs="Times New Roman"/>
                <w:b/>
                <w:bCs/>
                <w:lang w:val="uk-UA"/>
              </w:rPr>
            </w:pPr>
            <w:r w:rsidRPr="00E744AD">
              <w:rPr>
                <w:rFonts w:ascii="Times New Roman" w:hAnsi="Times New Roman" w:cs="Times New Roman"/>
                <w:b/>
                <w:bCs/>
                <w:lang w:val="uk-UA"/>
              </w:rPr>
              <w:t>5</w:t>
            </w:r>
          </w:p>
        </w:tc>
        <w:tc>
          <w:tcPr>
            <w:tcW w:w="0" w:type="auto"/>
            <w:tcMar>
              <w:top w:w="100" w:type="dxa"/>
              <w:left w:w="100" w:type="dxa"/>
              <w:bottom w:w="100" w:type="dxa"/>
              <w:right w:w="100" w:type="dxa"/>
            </w:tcMar>
          </w:tcPr>
          <w:p w:rsidR="00F16FAE" w:rsidRPr="00E744AD" w:rsidRDefault="004E6120" w:rsidP="005346A5">
            <w:pPr>
              <w:spacing w:after="0" w:line="240" w:lineRule="auto"/>
              <w:ind w:left="100" w:right="120" w:hanging="20"/>
              <w:rPr>
                <w:rFonts w:ascii="Times New Roman" w:hAnsi="Times New Roman" w:cs="Times New Roman"/>
                <w:sz w:val="24"/>
                <w:lang w:val="uk-UA" w:eastAsia="ru-RU"/>
              </w:rPr>
            </w:pPr>
            <w:r w:rsidRPr="00E744AD">
              <w:rPr>
                <w:rFonts w:ascii="Times New Roman" w:hAnsi="Times New Roman" w:cs="Times New Roman"/>
                <w:sz w:val="24"/>
                <w:lang w:val="uk-UA"/>
              </w:rPr>
              <w:t>Учасники закупівель повинні надати в складі своєї пропозиції документ</w:t>
            </w:r>
            <w:r w:rsidR="00A26784" w:rsidRPr="00E744AD">
              <w:rPr>
                <w:rFonts w:ascii="Times New Roman" w:hAnsi="Times New Roman" w:cs="Times New Roman"/>
                <w:sz w:val="24"/>
                <w:lang w:val="uk-UA"/>
              </w:rPr>
              <w:t>,</w:t>
            </w:r>
            <w:r w:rsidRPr="00E744AD">
              <w:rPr>
                <w:rFonts w:ascii="Times New Roman" w:hAnsi="Times New Roman" w:cs="Times New Roman"/>
                <w:sz w:val="24"/>
                <w:lang w:val="uk-UA"/>
              </w:rPr>
              <w:t xml:space="preserve"> що підтверджує впровадження системи НАССР на підприємстві. Таким документом може бути сертифікат або останній акт перевірки складений </w:t>
            </w:r>
            <w:proofErr w:type="spellStart"/>
            <w:r w:rsidRPr="00E744AD">
              <w:rPr>
                <w:rFonts w:ascii="Times New Roman" w:hAnsi="Times New Roman" w:cs="Times New Roman"/>
                <w:sz w:val="24"/>
                <w:lang w:val="uk-UA"/>
              </w:rPr>
              <w:t>Держпродспоживслужби</w:t>
            </w:r>
            <w:proofErr w:type="spellEnd"/>
            <w:r w:rsidRPr="00E744AD">
              <w:rPr>
                <w:rFonts w:ascii="Times New Roman" w:hAnsi="Times New Roman" w:cs="Times New Roman"/>
                <w:sz w:val="24"/>
                <w:lang w:val="uk-UA"/>
              </w:rPr>
              <w:t xml:space="preserve"> (про планову або позапланового заходу) стосовно додержання оператором ринку вимог Закону України «Про основні принципи та вимоги до безпечності та якості харчових продуктів».</w:t>
            </w:r>
          </w:p>
        </w:tc>
      </w:tr>
      <w:tr w:rsidR="00E744AD" w:rsidRPr="002F5697" w:rsidTr="005346A5">
        <w:trPr>
          <w:trHeight w:val="168"/>
        </w:trPr>
        <w:tc>
          <w:tcPr>
            <w:tcW w:w="0" w:type="auto"/>
            <w:tcMar>
              <w:top w:w="100" w:type="dxa"/>
              <w:left w:w="100" w:type="dxa"/>
              <w:bottom w:w="100" w:type="dxa"/>
              <w:right w:w="100" w:type="dxa"/>
            </w:tcMar>
          </w:tcPr>
          <w:p w:rsidR="00FC06E4" w:rsidRPr="00E744AD" w:rsidRDefault="00AB42A3" w:rsidP="005346A5">
            <w:pPr>
              <w:spacing w:after="0" w:line="240" w:lineRule="auto"/>
              <w:jc w:val="center"/>
              <w:rPr>
                <w:rFonts w:ascii="Times New Roman" w:hAnsi="Times New Roman" w:cs="Times New Roman"/>
                <w:b/>
                <w:bCs/>
                <w:lang w:val="uk-UA"/>
              </w:rPr>
            </w:pPr>
            <w:r>
              <w:rPr>
                <w:rFonts w:ascii="Times New Roman" w:hAnsi="Times New Roman" w:cs="Times New Roman"/>
                <w:b/>
                <w:bCs/>
                <w:lang w:val="uk-UA"/>
              </w:rPr>
              <w:t>6</w:t>
            </w:r>
          </w:p>
        </w:tc>
        <w:tc>
          <w:tcPr>
            <w:tcW w:w="0" w:type="auto"/>
            <w:tcMar>
              <w:top w:w="100" w:type="dxa"/>
              <w:left w:w="100" w:type="dxa"/>
              <w:bottom w:w="100" w:type="dxa"/>
              <w:right w:w="100" w:type="dxa"/>
            </w:tcMar>
          </w:tcPr>
          <w:p w:rsidR="00FC06E4" w:rsidRPr="00E744AD" w:rsidRDefault="00FC06E4" w:rsidP="00056437">
            <w:pPr>
              <w:widowControl w:val="0"/>
              <w:spacing w:after="0" w:line="240" w:lineRule="auto"/>
              <w:ind w:left="34" w:right="113" w:hanging="24"/>
              <w:contextualSpacing/>
              <w:rPr>
                <w:rFonts w:ascii="Times New Roman" w:hAnsi="Times New Roman" w:cs="Times New Roman"/>
                <w:lang w:val="uk-UA"/>
              </w:rPr>
            </w:pPr>
            <w:r w:rsidRPr="00E744AD">
              <w:rPr>
                <w:rFonts w:ascii="Times New Roman" w:hAnsi="Times New Roman" w:cs="Times New Roman"/>
                <w:lang w:val="uk-UA"/>
              </w:rPr>
              <w:t>Учасник у складі пропозиції подає лист «</w:t>
            </w:r>
            <w:r w:rsidRPr="00E744AD">
              <w:rPr>
                <w:rFonts w:ascii="Times New Roman" w:hAnsi="Times New Roman" w:cs="Times New Roman"/>
                <w:b/>
                <w:lang w:val="uk-UA"/>
              </w:rPr>
              <w:t>Цінова пропозиція</w:t>
            </w:r>
            <w:r w:rsidRPr="00E744AD">
              <w:rPr>
                <w:rFonts w:ascii="Times New Roman" w:hAnsi="Times New Roman" w:cs="Times New Roman"/>
                <w:lang w:val="uk-UA"/>
              </w:rPr>
              <w:t xml:space="preserve">» у довільній формі на фірмовому бланку із зазначенням реквізитів учасника, повного  найменування учасника та найменування товару, кількості </w:t>
            </w:r>
            <w:r w:rsidR="00056437" w:rsidRPr="00E744AD">
              <w:rPr>
                <w:rFonts w:ascii="Times New Roman" w:hAnsi="Times New Roman" w:cs="Times New Roman"/>
                <w:lang w:val="uk-UA"/>
              </w:rPr>
              <w:t>товару</w:t>
            </w:r>
            <w:r w:rsidRPr="00E744AD">
              <w:rPr>
                <w:rFonts w:ascii="Times New Roman" w:hAnsi="Times New Roman" w:cs="Times New Roman"/>
                <w:lang w:val="uk-UA"/>
              </w:rPr>
              <w:t xml:space="preserve">, </w:t>
            </w:r>
            <w:r w:rsidR="00056437" w:rsidRPr="00E744AD">
              <w:rPr>
                <w:rFonts w:ascii="Times New Roman" w:hAnsi="Times New Roman" w:cs="Times New Roman"/>
                <w:lang w:val="uk-UA"/>
              </w:rPr>
              <w:t xml:space="preserve">відомості про країну походження товару, </w:t>
            </w:r>
            <w:r w:rsidRPr="00E744AD">
              <w:rPr>
                <w:rFonts w:ascii="Times New Roman" w:hAnsi="Times New Roman" w:cs="Times New Roman"/>
                <w:lang w:val="uk-UA"/>
              </w:rPr>
              <w:t>ціни пропозиції та строку дії такої пропозиції, підписану уповноваженою особою.</w:t>
            </w:r>
          </w:p>
        </w:tc>
      </w:tr>
      <w:tr w:rsidR="00E744AD" w:rsidRPr="00E744AD" w:rsidTr="000B72A7">
        <w:trPr>
          <w:trHeight w:val="6378"/>
        </w:trPr>
        <w:tc>
          <w:tcPr>
            <w:tcW w:w="0" w:type="auto"/>
            <w:tcMar>
              <w:top w:w="100" w:type="dxa"/>
              <w:left w:w="100" w:type="dxa"/>
              <w:bottom w:w="100" w:type="dxa"/>
              <w:right w:w="100" w:type="dxa"/>
            </w:tcMar>
          </w:tcPr>
          <w:p w:rsidR="000B72A7" w:rsidRPr="00E744AD" w:rsidRDefault="00AB42A3" w:rsidP="00E744AD">
            <w:pPr>
              <w:spacing w:after="0" w:line="240" w:lineRule="auto"/>
              <w:jc w:val="center"/>
              <w:rPr>
                <w:rFonts w:ascii="Times New Roman" w:hAnsi="Times New Roman" w:cs="Times New Roman"/>
                <w:b/>
                <w:bCs/>
                <w:lang w:val="uk-UA"/>
              </w:rPr>
            </w:pPr>
            <w:r>
              <w:rPr>
                <w:rFonts w:ascii="Times New Roman" w:hAnsi="Times New Roman" w:cs="Times New Roman"/>
                <w:b/>
                <w:bCs/>
                <w:lang w:val="uk-UA"/>
              </w:rPr>
              <w:lastRenderedPageBreak/>
              <w:t>7</w:t>
            </w:r>
          </w:p>
        </w:tc>
        <w:tc>
          <w:tcPr>
            <w:tcW w:w="0" w:type="auto"/>
            <w:tcMar>
              <w:top w:w="100" w:type="dxa"/>
              <w:left w:w="100" w:type="dxa"/>
              <w:bottom w:w="100" w:type="dxa"/>
              <w:right w:w="100" w:type="dxa"/>
            </w:tcMar>
          </w:tcPr>
          <w:p w:rsidR="000B72A7" w:rsidRPr="00E744AD" w:rsidRDefault="000B72A7" w:rsidP="000B72A7">
            <w:pPr>
              <w:tabs>
                <w:tab w:val="center" w:pos="4819"/>
                <w:tab w:val="left" w:pos="6045"/>
              </w:tabs>
              <w:spacing w:after="0" w:line="240" w:lineRule="auto"/>
              <w:ind w:left="720"/>
              <w:rPr>
                <w:rFonts w:ascii="Times New Roman" w:hAnsi="Times New Roman" w:cs="Times New Roman"/>
                <w:sz w:val="24"/>
                <w:szCs w:val="24"/>
                <w:lang w:val="uk-UA"/>
              </w:rPr>
            </w:pPr>
            <w:r w:rsidRPr="00E744AD">
              <w:rPr>
                <w:rFonts w:ascii="Times New Roman" w:eastAsia="Times New Roman" w:hAnsi="Times New Roman" w:cs="Times New Roman"/>
                <w:b/>
                <w:iCs/>
                <w:kern w:val="1"/>
                <w:sz w:val="24"/>
                <w:szCs w:val="24"/>
                <w:lang w:val="uk-UA" w:eastAsia="ar-SA"/>
              </w:rPr>
              <w:t>ДОВІДКА, ЩО МІСТИТЬ ВІДОМОСТІ ПРО УЧАСНИКА</w:t>
            </w:r>
          </w:p>
          <w:tbl>
            <w:tblPr>
              <w:tblW w:w="10065" w:type="dxa"/>
              <w:tblLook w:val="0000" w:firstRow="0" w:lastRow="0" w:firstColumn="0" w:lastColumn="0" w:noHBand="0" w:noVBand="0"/>
            </w:tblPr>
            <w:tblGrid>
              <w:gridCol w:w="537"/>
              <w:gridCol w:w="4597"/>
              <w:gridCol w:w="4931"/>
            </w:tblGrid>
            <w:tr w:rsidR="00E744AD" w:rsidRPr="00E744AD" w:rsidTr="007824F8">
              <w:trPr>
                <w:trHeight w:val="548"/>
              </w:trPr>
              <w:tc>
                <w:tcPr>
                  <w:tcW w:w="53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 з/п</w:t>
                  </w:r>
                </w:p>
              </w:tc>
              <w:tc>
                <w:tcPr>
                  <w:tcW w:w="459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b/>
                      <w:bCs/>
                      <w:sz w:val="20"/>
                      <w:szCs w:val="24"/>
                      <w:lang w:val="uk-UA"/>
                    </w:rPr>
                    <w:t>Загальні відомості про Учасника торгів</w:t>
                  </w:r>
                </w:p>
              </w:tc>
              <w:tc>
                <w:tcPr>
                  <w:tcW w:w="4931"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b/>
                      <w:bCs/>
                      <w:sz w:val="20"/>
                      <w:szCs w:val="24"/>
                      <w:lang w:val="uk-UA"/>
                    </w:rPr>
                    <w:t>Відповіді (</w:t>
                  </w:r>
                  <w:r w:rsidRPr="00E744AD">
                    <w:rPr>
                      <w:rFonts w:ascii="Times New Roman" w:eastAsia="Times New Roman" w:hAnsi="Times New Roman" w:cs="Times New Roman"/>
                      <w:b/>
                      <w:bCs/>
                      <w:i/>
                      <w:sz w:val="20"/>
                      <w:szCs w:val="24"/>
                      <w:lang w:val="uk-UA"/>
                    </w:rPr>
                    <w:t>відповідна інформація зазначається учасником</w:t>
                  </w:r>
                  <w:r w:rsidRPr="00E744AD">
                    <w:rPr>
                      <w:rFonts w:ascii="Times New Roman" w:eastAsia="Times New Roman" w:hAnsi="Times New Roman" w:cs="Times New Roman"/>
                      <w:b/>
                      <w:bCs/>
                      <w:sz w:val="20"/>
                      <w:szCs w:val="24"/>
                      <w:lang w:val="uk-UA"/>
                    </w:rPr>
                    <w:t>)</w:t>
                  </w:r>
                </w:p>
              </w:tc>
            </w:tr>
            <w:tr w:rsidR="00E744AD" w:rsidRPr="00E744AD" w:rsidTr="007824F8">
              <w:trPr>
                <w:trHeight w:val="163"/>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i/>
                      <w:sz w:val="12"/>
                      <w:szCs w:val="24"/>
                      <w:lang w:val="uk-UA"/>
                    </w:rPr>
                  </w:pPr>
                  <w:r w:rsidRPr="00E744AD">
                    <w:rPr>
                      <w:rFonts w:ascii="Times New Roman" w:eastAsia="Times New Roman" w:hAnsi="Times New Roman" w:cs="Times New Roman"/>
                      <w:i/>
                      <w:sz w:val="12"/>
                      <w:szCs w:val="24"/>
                      <w:lang w:val="uk-UA"/>
                    </w:rPr>
                    <w:t>1</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bCs/>
                      <w:i/>
                      <w:sz w:val="12"/>
                      <w:szCs w:val="24"/>
                      <w:lang w:val="uk-UA"/>
                    </w:rPr>
                  </w:pPr>
                  <w:r w:rsidRPr="00E744AD">
                    <w:rPr>
                      <w:rFonts w:ascii="Times New Roman" w:eastAsia="Times New Roman" w:hAnsi="Times New Roman" w:cs="Times New Roman"/>
                      <w:bCs/>
                      <w:i/>
                      <w:sz w:val="12"/>
                      <w:szCs w:val="24"/>
                      <w:lang w:val="uk-UA"/>
                    </w:rPr>
                    <w:t>2</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1C64E7">
                  <w:pPr>
                    <w:autoSpaceDE w:val="0"/>
                    <w:autoSpaceDN w:val="0"/>
                    <w:adjustRightInd w:val="0"/>
                    <w:spacing w:after="0" w:line="240" w:lineRule="auto"/>
                    <w:ind w:right="536"/>
                    <w:jc w:val="center"/>
                    <w:rPr>
                      <w:rFonts w:ascii="Times New Roman" w:eastAsia="Times New Roman" w:hAnsi="Times New Roman" w:cs="Times New Roman"/>
                      <w:bCs/>
                      <w:i/>
                      <w:sz w:val="12"/>
                      <w:szCs w:val="24"/>
                      <w:lang w:val="uk-UA"/>
                    </w:rPr>
                  </w:pPr>
                  <w:r w:rsidRPr="00E744AD">
                    <w:rPr>
                      <w:rFonts w:ascii="Times New Roman" w:eastAsia="Times New Roman" w:hAnsi="Times New Roman" w:cs="Times New Roman"/>
                      <w:bCs/>
                      <w:i/>
                      <w:sz w:val="12"/>
                      <w:szCs w:val="24"/>
                      <w:lang w:val="uk-UA"/>
                    </w:rPr>
                    <w:t>3</w:t>
                  </w:r>
                </w:p>
              </w:tc>
            </w:tr>
            <w:tr w:rsidR="00E744AD" w:rsidRPr="00E744AD" w:rsidTr="007824F8">
              <w:trPr>
                <w:trHeight w:val="230"/>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1</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Повне найменування Учасника</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E744AD" w:rsidTr="007824F8">
              <w:trPr>
                <w:trHeight w:val="265"/>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2</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Юридична адреса/ Фактична адреса</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E744AD" w:rsidTr="007824F8">
              <w:trPr>
                <w:trHeight w:val="175"/>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3</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Телефон, електронна пошта</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E744AD" w:rsidTr="007824F8">
              <w:trPr>
                <w:trHeight w:val="186"/>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4</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Код ЄДРПОУ або ідентифікаційний номер для фізичних осіб</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E744AD" w:rsidTr="007824F8">
              <w:trPr>
                <w:trHeight w:val="319"/>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5</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Посада, прізвище, ім’я та по батькові керівника</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E744AD" w:rsidTr="007824F8">
              <w:trPr>
                <w:trHeight w:val="319"/>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6</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Назва установчого документу відповідно до якого учасник здійснює діяльність</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2F5697" w:rsidTr="007824F8">
              <w:trPr>
                <w:trHeight w:val="290"/>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7</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Класифікація суб'єкта господарювання:</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rPr>
                      <w:rFonts w:ascii="Times New Roman" w:eastAsia="Times New Roman" w:hAnsi="Times New Roman" w:cs="Times New Roman"/>
                      <w:sz w:val="20"/>
                      <w:szCs w:val="24"/>
                      <w:lang w:val="uk-UA"/>
                    </w:rPr>
                  </w:pPr>
                  <w:r w:rsidRPr="00E744AD">
                    <w:rPr>
                      <w:rFonts w:ascii="Times New Roman" w:eastAsia="Times New Roman" w:hAnsi="Times New Roman" w:cs="Times New Roman"/>
                      <w:i/>
                      <w:sz w:val="20"/>
                      <w:szCs w:val="24"/>
                      <w:lang w:val="uk-UA"/>
                    </w:rPr>
                    <w:t xml:space="preserve">(Обрати варіант: суб'єкт </w:t>
                  </w:r>
                  <w:proofErr w:type="spellStart"/>
                  <w:r w:rsidRPr="00E744AD">
                    <w:rPr>
                      <w:rFonts w:ascii="Times New Roman" w:eastAsia="Times New Roman" w:hAnsi="Times New Roman" w:cs="Times New Roman"/>
                      <w:i/>
                      <w:sz w:val="20"/>
                      <w:szCs w:val="24"/>
                      <w:lang w:val="uk-UA"/>
                    </w:rPr>
                    <w:t>мікропідприємництва</w:t>
                  </w:r>
                  <w:proofErr w:type="spellEnd"/>
                  <w:r w:rsidRPr="00E744AD">
                    <w:rPr>
                      <w:rFonts w:ascii="Times New Roman" w:eastAsia="Times New Roman" w:hAnsi="Times New Roman" w:cs="Times New Roman"/>
                      <w:i/>
                      <w:sz w:val="20"/>
                      <w:szCs w:val="24"/>
                      <w:lang w:val="uk-UA"/>
                    </w:rPr>
                    <w:t>/ малого підприємництва/ середнього підприємництва/ великого підприємництва/ не є суб'єктом господарювання)</w:t>
                  </w:r>
                </w:p>
              </w:tc>
            </w:tr>
            <w:tr w:rsidR="00E744AD" w:rsidRPr="00E744AD" w:rsidTr="007824F8">
              <w:trPr>
                <w:trHeight w:val="651"/>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8</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 xml:space="preserve">Інформація про засновників (учасників) підприємства, з обов’язковим визначенням інформації про кінцевого </w:t>
                  </w:r>
                  <w:proofErr w:type="spellStart"/>
                  <w:r w:rsidRPr="00E744AD">
                    <w:rPr>
                      <w:rFonts w:ascii="Times New Roman" w:eastAsia="Times New Roman" w:hAnsi="Times New Roman" w:cs="Times New Roman"/>
                      <w:sz w:val="20"/>
                      <w:szCs w:val="24"/>
                      <w:lang w:val="uk-UA"/>
                    </w:rPr>
                    <w:t>бенефіціарного</w:t>
                  </w:r>
                  <w:proofErr w:type="spellEnd"/>
                  <w:r w:rsidRPr="00E744AD">
                    <w:rPr>
                      <w:rFonts w:ascii="Times New Roman" w:eastAsia="Times New Roman" w:hAnsi="Times New Roman" w:cs="Times New Roman"/>
                      <w:sz w:val="20"/>
                      <w:szCs w:val="24"/>
                      <w:lang w:val="uk-UA"/>
                    </w:rPr>
                    <w:t xml:space="preserve"> власника (контролера) юридичної особи – резидента України, яка є учасником торгів</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rPr>
                      <w:rFonts w:ascii="Times New Roman" w:eastAsia="Times New Roman" w:hAnsi="Times New Roman" w:cs="Times New Roman"/>
                      <w:i/>
                      <w:sz w:val="20"/>
                      <w:szCs w:val="24"/>
                      <w:lang w:val="uk-UA"/>
                    </w:rPr>
                  </w:pPr>
                  <w:r w:rsidRPr="00E744AD">
                    <w:rPr>
                      <w:rFonts w:ascii="Times New Roman" w:eastAsia="Times New Roman" w:hAnsi="Times New Roman" w:cs="Times New Roman"/>
                      <w:i/>
                      <w:sz w:val="20"/>
                      <w:szCs w:val="24"/>
                      <w:lang w:val="uk-UA"/>
                    </w:rPr>
                    <w:t>(Інформація подається в розрізі кожного із засновників (учасників) підприємства з визначенням назви юридичної особи або фізичної особи, місцезнаходження (місце проживання) згідно даних, занесених до Єдиного державного реєстру України, володіння часткою (паєм, пакетом акцій) відсотків статутного капіталу учасника процедури закупівлі.</w:t>
                  </w:r>
                </w:p>
                <w:p w:rsidR="000B72A7" w:rsidRPr="00E744AD" w:rsidRDefault="000B72A7" w:rsidP="001C64E7">
                  <w:pPr>
                    <w:autoSpaceDE w:val="0"/>
                    <w:autoSpaceDN w:val="0"/>
                    <w:adjustRightInd w:val="0"/>
                    <w:spacing w:after="0" w:line="240" w:lineRule="auto"/>
                    <w:ind w:right="536"/>
                    <w:rPr>
                      <w:rFonts w:ascii="Times New Roman" w:eastAsia="Times New Roman" w:hAnsi="Times New Roman" w:cs="Times New Roman"/>
                      <w:sz w:val="20"/>
                      <w:szCs w:val="24"/>
                      <w:lang w:val="uk-UA"/>
                    </w:rPr>
                  </w:pPr>
                  <w:r w:rsidRPr="00E744AD">
                    <w:rPr>
                      <w:rFonts w:ascii="Times New Roman" w:eastAsia="Times New Roman" w:hAnsi="Times New Roman" w:cs="Times New Roman"/>
                      <w:i/>
                      <w:sz w:val="20"/>
                      <w:szCs w:val="24"/>
                      <w:lang w:val="uk-UA"/>
                    </w:rPr>
                    <w:t xml:space="preserve">Аналогічно наводиться інформація про кінцевого </w:t>
                  </w:r>
                  <w:proofErr w:type="spellStart"/>
                  <w:r w:rsidRPr="00E744AD">
                    <w:rPr>
                      <w:rFonts w:ascii="Times New Roman" w:eastAsia="Times New Roman" w:hAnsi="Times New Roman" w:cs="Times New Roman"/>
                      <w:i/>
                      <w:sz w:val="20"/>
                      <w:szCs w:val="24"/>
                      <w:lang w:val="uk-UA"/>
                    </w:rPr>
                    <w:t>бенефіціарного</w:t>
                  </w:r>
                  <w:proofErr w:type="spellEnd"/>
                  <w:r w:rsidRPr="00E744AD">
                    <w:rPr>
                      <w:rFonts w:ascii="Times New Roman" w:eastAsia="Times New Roman" w:hAnsi="Times New Roman" w:cs="Times New Roman"/>
                      <w:i/>
                      <w:sz w:val="20"/>
                      <w:szCs w:val="24"/>
                      <w:lang w:val="uk-UA"/>
                    </w:rPr>
                    <w:t xml:space="preserve"> власника (контролера) юридичної особи – резидента України, який є учасником торгів.)</w:t>
                  </w:r>
                </w:p>
              </w:tc>
            </w:tr>
          </w:tbl>
          <w:p w:rsidR="000B72A7" w:rsidRPr="00E744AD" w:rsidRDefault="000B72A7" w:rsidP="005346A5">
            <w:pPr>
              <w:widowControl w:val="0"/>
              <w:spacing w:after="0" w:line="240" w:lineRule="auto"/>
              <w:ind w:left="34" w:right="113" w:hanging="24"/>
              <w:contextualSpacing/>
              <w:rPr>
                <w:rFonts w:ascii="Times New Roman" w:hAnsi="Times New Roman" w:cs="Times New Roman"/>
              </w:rPr>
            </w:pPr>
          </w:p>
        </w:tc>
      </w:tr>
    </w:tbl>
    <w:p w:rsidR="00F16FAE" w:rsidRPr="00E744AD" w:rsidRDefault="00F16FAE" w:rsidP="005346A5">
      <w:pPr>
        <w:shd w:val="clear" w:color="auto" w:fill="FFFFFF"/>
        <w:spacing w:after="0" w:line="240" w:lineRule="auto"/>
        <w:rPr>
          <w:rFonts w:ascii="Times New Roman" w:eastAsia="Times New Roman" w:hAnsi="Times New Roman" w:cs="Times New Roman"/>
          <w:b/>
          <w:sz w:val="24"/>
          <w:szCs w:val="24"/>
        </w:rPr>
      </w:pPr>
    </w:p>
    <w:p w:rsidR="00F16FAE" w:rsidRPr="00E744AD" w:rsidRDefault="00F16FAE" w:rsidP="005346A5">
      <w:pPr>
        <w:shd w:val="clear" w:color="auto" w:fill="FFFFFF"/>
        <w:spacing w:after="0" w:line="240" w:lineRule="auto"/>
        <w:rPr>
          <w:rFonts w:ascii="Times New Roman" w:eastAsia="Times New Roman" w:hAnsi="Times New Roman" w:cs="Times New Roman"/>
          <w:b/>
          <w:sz w:val="24"/>
          <w:szCs w:val="24"/>
          <w:lang w:val="uk-UA"/>
        </w:rPr>
      </w:pPr>
    </w:p>
    <w:p w:rsidR="00F16FAE" w:rsidRPr="00E744AD" w:rsidRDefault="00F16FAE" w:rsidP="005346A5">
      <w:pPr>
        <w:shd w:val="clear" w:color="auto" w:fill="FFFFFF"/>
        <w:spacing w:after="0" w:line="240" w:lineRule="auto"/>
        <w:rPr>
          <w:rFonts w:ascii="Times New Roman" w:eastAsia="Times New Roman" w:hAnsi="Times New Roman" w:cs="Times New Roman"/>
          <w:sz w:val="24"/>
          <w:szCs w:val="24"/>
          <w:lang w:val="uk-UA"/>
        </w:rPr>
      </w:pPr>
    </w:p>
    <w:p w:rsidR="00F0336D" w:rsidRPr="00E744AD" w:rsidRDefault="00F0336D" w:rsidP="005346A5">
      <w:pPr>
        <w:spacing w:after="0" w:line="240" w:lineRule="auto"/>
        <w:rPr>
          <w:rFonts w:ascii="Times New Roman" w:eastAsia="Times New Roman" w:hAnsi="Times New Roman" w:cs="Times New Roman"/>
          <w:sz w:val="24"/>
          <w:szCs w:val="24"/>
          <w:lang w:val="uk-UA"/>
        </w:rPr>
      </w:pPr>
    </w:p>
    <w:sectPr w:rsidR="00F0336D" w:rsidRPr="00E744AD" w:rsidSect="005346A5">
      <w:pgSz w:w="11906" w:h="16838"/>
      <w:pgMar w:top="709" w:right="566"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3355"/>
    <w:multiLevelType w:val="multilevel"/>
    <w:tmpl w:val="EA844B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6500392"/>
    <w:multiLevelType w:val="hybridMultilevel"/>
    <w:tmpl w:val="DFBE0C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6E37AA8"/>
    <w:multiLevelType w:val="hybridMultilevel"/>
    <w:tmpl w:val="B6C67AFE"/>
    <w:lvl w:ilvl="0" w:tplc="04190001">
      <w:start w:val="1"/>
      <w:numFmt w:val="bullet"/>
      <w:lvlText w:val=""/>
      <w:lvlJc w:val="left"/>
      <w:pPr>
        <w:ind w:left="800" w:hanging="360"/>
      </w:pPr>
      <w:rPr>
        <w:rFonts w:ascii="Symbol" w:hAnsi="Symbol" w:hint="default"/>
      </w:rPr>
    </w:lvl>
    <w:lvl w:ilvl="1" w:tplc="04190003">
      <w:start w:val="1"/>
      <w:numFmt w:val="bullet"/>
      <w:lvlText w:val="o"/>
      <w:lvlJc w:val="left"/>
      <w:pPr>
        <w:ind w:left="1520" w:hanging="360"/>
      </w:pPr>
      <w:rPr>
        <w:rFonts w:ascii="Courier New" w:hAnsi="Courier New" w:cs="Courier New" w:hint="default"/>
      </w:rPr>
    </w:lvl>
    <w:lvl w:ilvl="2" w:tplc="04190005">
      <w:start w:val="1"/>
      <w:numFmt w:val="bullet"/>
      <w:lvlText w:val=""/>
      <w:lvlJc w:val="left"/>
      <w:pPr>
        <w:ind w:left="2240" w:hanging="360"/>
      </w:pPr>
      <w:rPr>
        <w:rFonts w:ascii="Wingdings" w:hAnsi="Wingdings" w:hint="default"/>
      </w:rPr>
    </w:lvl>
    <w:lvl w:ilvl="3" w:tplc="04190001">
      <w:start w:val="1"/>
      <w:numFmt w:val="bullet"/>
      <w:lvlText w:val=""/>
      <w:lvlJc w:val="left"/>
      <w:pPr>
        <w:ind w:left="2960" w:hanging="360"/>
      </w:pPr>
      <w:rPr>
        <w:rFonts w:ascii="Symbol" w:hAnsi="Symbol" w:hint="default"/>
      </w:rPr>
    </w:lvl>
    <w:lvl w:ilvl="4" w:tplc="04190003">
      <w:start w:val="1"/>
      <w:numFmt w:val="bullet"/>
      <w:lvlText w:val="o"/>
      <w:lvlJc w:val="left"/>
      <w:pPr>
        <w:ind w:left="3680" w:hanging="360"/>
      </w:pPr>
      <w:rPr>
        <w:rFonts w:ascii="Courier New" w:hAnsi="Courier New" w:cs="Courier New" w:hint="default"/>
      </w:rPr>
    </w:lvl>
    <w:lvl w:ilvl="5" w:tplc="04190005">
      <w:start w:val="1"/>
      <w:numFmt w:val="bullet"/>
      <w:lvlText w:val=""/>
      <w:lvlJc w:val="left"/>
      <w:pPr>
        <w:ind w:left="4400" w:hanging="360"/>
      </w:pPr>
      <w:rPr>
        <w:rFonts w:ascii="Wingdings" w:hAnsi="Wingdings" w:hint="default"/>
      </w:rPr>
    </w:lvl>
    <w:lvl w:ilvl="6" w:tplc="04190001">
      <w:start w:val="1"/>
      <w:numFmt w:val="bullet"/>
      <w:lvlText w:val=""/>
      <w:lvlJc w:val="left"/>
      <w:pPr>
        <w:ind w:left="5120" w:hanging="360"/>
      </w:pPr>
      <w:rPr>
        <w:rFonts w:ascii="Symbol" w:hAnsi="Symbol" w:hint="default"/>
      </w:rPr>
    </w:lvl>
    <w:lvl w:ilvl="7" w:tplc="04190003">
      <w:start w:val="1"/>
      <w:numFmt w:val="bullet"/>
      <w:lvlText w:val="o"/>
      <w:lvlJc w:val="left"/>
      <w:pPr>
        <w:ind w:left="5840" w:hanging="360"/>
      </w:pPr>
      <w:rPr>
        <w:rFonts w:ascii="Courier New" w:hAnsi="Courier New" w:cs="Courier New" w:hint="default"/>
      </w:rPr>
    </w:lvl>
    <w:lvl w:ilvl="8" w:tplc="04190005">
      <w:start w:val="1"/>
      <w:numFmt w:val="bullet"/>
      <w:lvlText w:val=""/>
      <w:lvlJc w:val="left"/>
      <w:pPr>
        <w:ind w:left="6560" w:hanging="360"/>
      </w:pPr>
      <w:rPr>
        <w:rFonts w:ascii="Wingdings" w:hAnsi="Wingdings" w:hint="default"/>
      </w:rPr>
    </w:lvl>
  </w:abstractNum>
  <w:abstractNum w:abstractNumId="3">
    <w:nsid w:val="55D80E23"/>
    <w:multiLevelType w:val="hybridMultilevel"/>
    <w:tmpl w:val="D51659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0336D"/>
    <w:rsid w:val="00017403"/>
    <w:rsid w:val="00034659"/>
    <w:rsid w:val="00044201"/>
    <w:rsid w:val="00056437"/>
    <w:rsid w:val="000B1455"/>
    <w:rsid w:val="000B5D42"/>
    <w:rsid w:val="000B72A7"/>
    <w:rsid w:val="000B7DD2"/>
    <w:rsid w:val="0013476A"/>
    <w:rsid w:val="001C64E7"/>
    <w:rsid w:val="00241E9A"/>
    <w:rsid w:val="002F1B5A"/>
    <w:rsid w:val="002F5697"/>
    <w:rsid w:val="003A6D82"/>
    <w:rsid w:val="003B1E72"/>
    <w:rsid w:val="003E0FFA"/>
    <w:rsid w:val="004E4295"/>
    <w:rsid w:val="004E6120"/>
    <w:rsid w:val="005346A5"/>
    <w:rsid w:val="005B277E"/>
    <w:rsid w:val="00617BF1"/>
    <w:rsid w:val="00673AC1"/>
    <w:rsid w:val="0068129A"/>
    <w:rsid w:val="006971CC"/>
    <w:rsid w:val="006B4A9F"/>
    <w:rsid w:val="006E6EBC"/>
    <w:rsid w:val="00712390"/>
    <w:rsid w:val="007A5C6D"/>
    <w:rsid w:val="007C1A28"/>
    <w:rsid w:val="00803366"/>
    <w:rsid w:val="008715AA"/>
    <w:rsid w:val="008776F0"/>
    <w:rsid w:val="008B1CBD"/>
    <w:rsid w:val="009C24CC"/>
    <w:rsid w:val="00A26784"/>
    <w:rsid w:val="00A44E4E"/>
    <w:rsid w:val="00AB42A3"/>
    <w:rsid w:val="00B21D32"/>
    <w:rsid w:val="00B61F9F"/>
    <w:rsid w:val="00B93EFD"/>
    <w:rsid w:val="00C23B22"/>
    <w:rsid w:val="00C7548D"/>
    <w:rsid w:val="00CE4E8C"/>
    <w:rsid w:val="00D37261"/>
    <w:rsid w:val="00DF7F33"/>
    <w:rsid w:val="00E11137"/>
    <w:rsid w:val="00E21DD3"/>
    <w:rsid w:val="00E51AF1"/>
    <w:rsid w:val="00E744AD"/>
    <w:rsid w:val="00F0336D"/>
    <w:rsid w:val="00F16FAE"/>
    <w:rsid w:val="00F25DD7"/>
    <w:rsid w:val="00F429F3"/>
    <w:rsid w:val="00F63687"/>
    <w:rsid w:val="00F856B4"/>
    <w:rsid w:val="00F95187"/>
    <w:rsid w:val="00FC06E4"/>
    <w:rsid w:val="00FF53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Список уровня 2"/>
    <w:basedOn w:val="a"/>
    <w:link w:val="a7"/>
    <w:uiPriority w:val="99"/>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customStyle="1" w:styleId="a7">
    <w:name w:val="Абзац списку Знак"/>
    <w:aliases w:val="Список уровня 2 Знак"/>
    <w:link w:val="a6"/>
    <w:uiPriority w:val="99"/>
    <w:locked/>
    <w:rsid w:val="00B21D32"/>
  </w:style>
  <w:style w:type="character" w:customStyle="1" w:styleId="af0">
    <w:name w:val="Без інтервалів Знак"/>
    <w:link w:val="af1"/>
    <w:uiPriority w:val="99"/>
    <w:locked/>
    <w:rsid w:val="00F16FAE"/>
    <w:rPr>
      <w:lang w:eastAsia="en-US"/>
    </w:rPr>
  </w:style>
  <w:style w:type="paragraph" w:styleId="af1">
    <w:name w:val="No Spacing"/>
    <w:link w:val="af0"/>
    <w:uiPriority w:val="99"/>
    <w:qFormat/>
    <w:rsid w:val="00F16FAE"/>
    <w:pPr>
      <w:spacing w:after="0" w:line="240" w:lineRule="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Список уровня 2"/>
    <w:basedOn w:val="a"/>
    <w:link w:val="a7"/>
    <w:uiPriority w:val="99"/>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customStyle="1" w:styleId="a7">
    <w:name w:val="Абзац списку Знак"/>
    <w:aliases w:val="Список уровня 2 Знак"/>
    <w:link w:val="a6"/>
    <w:uiPriority w:val="99"/>
    <w:locked/>
    <w:rsid w:val="00B21D32"/>
  </w:style>
  <w:style w:type="character" w:customStyle="1" w:styleId="af0">
    <w:name w:val="Без інтервалів Знак"/>
    <w:link w:val="af1"/>
    <w:uiPriority w:val="99"/>
    <w:locked/>
    <w:rsid w:val="00F16FAE"/>
    <w:rPr>
      <w:lang w:eastAsia="en-US"/>
    </w:rPr>
  </w:style>
  <w:style w:type="paragraph" w:styleId="af1">
    <w:name w:val="No Spacing"/>
    <w:link w:val="af0"/>
    <w:uiPriority w:val="99"/>
    <w:qFormat/>
    <w:rsid w:val="00F16FAE"/>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47312">
      <w:bodyDiv w:val="1"/>
      <w:marLeft w:val="0"/>
      <w:marRight w:val="0"/>
      <w:marTop w:val="0"/>
      <w:marBottom w:val="0"/>
      <w:divBdr>
        <w:top w:val="none" w:sz="0" w:space="0" w:color="auto"/>
        <w:left w:val="none" w:sz="0" w:space="0" w:color="auto"/>
        <w:bottom w:val="none" w:sz="0" w:space="0" w:color="auto"/>
        <w:right w:val="none" w:sz="0" w:space="0" w:color="auto"/>
      </w:divBdr>
    </w:div>
    <w:div w:id="736897377">
      <w:bodyDiv w:val="1"/>
      <w:marLeft w:val="0"/>
      <w:marRight w:val="0"/>
      <w:marTop w:val="0"/>
      <w:marBottom w:val="0"/>
      <w:divBdr>
        <w:top w:val="none" w:sz="0" w:space="0" w:color="auto"/>
        <w:left w:val="none" w:sz="0" w:space="0" w:color="auto"/>
        <w:bottom w:val="none" w:sz="0" w:space="0" w:color="auto"/>
        <w:right w:val="none" w:sz="0" w:space="0" w:color="auto"/>
      </w:divBdr>
    </w:div>
    <w:div w:id="1407532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10685</Words>
  <Characters>6091</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52</cp:revision>
  <dcterms:created xsi:type="dcterms:W3CDTF">2022-10-24T07:10:00Z</dcterms:created>
  <dcterms:modified xsi:type="dcterms:W3CDTF">2023-01-27T09:49:00Z</dcterms:modified>
</cp:coreProperties>
</file>