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1DDF" w14:textId="77777777" w:rsidR="00E17692" w:rsidRPr="00E17692" w:rsidRDefault="00E17692" w:rsidP="00E17692">
      <w:pPr>
        <w:widowControl w:val="0"/>
        <w:suppressAutoHyphens/>
        <w:autoSpaceDE w:val="0"/>
        <w:spacing w:after="0" w:line="240" w:lineRule="auto"/>
        <w:jc w:val="right"/>
        <w:rPr>
          <w:rFonts w:ascii="Times New Roman CYR" w:eastAsia="Times New Roman" w:hAnsi="Times New Roman CYR" w:cs="Times New Roman CYR"/>
          <w:b/>
          <w:sz w:val="24"/>
          <w:szCs w:val="24"/>
          <w:lang w:eastAsia="zh-CN"/>
        </w:rPr>
      </w:pPr>
      <w:r w:rsidRPr="00E17692">
        <w:rPr>
          <w:rFonts w:ascii="Times New Roman" w:eastAsia="Times New Roman" w:hAnsi="Times New Roman" w:cs="Times New Roman"/>
          <w:b/>
          <w:sz w:val="24"/>
          <w:szCs w:val="24"/>
          <w:lang w:eastAsia="ru-RU"/>
        </w:rPr>
        <w:t> </w:t>
      </w:r>
      <w:r w:rsidRPr="00E17692">
        <w:rPr>
          <w:rFonts w:ascii="Times New Roman CYR" w:eastAsia="Times New Roman" w:hAnsi="Times New Roman CYR" w:cs="Times New Roman CYR"/>
          <w:b/>
          <w:sz w:val="24"/>
          <w:szCs w:val="24"/>
          <w:lang w:eastAsia="zh-CN"/>
        </w:rPr>
        <w:t>Додаток № 2</w:t>
      </w:r>
    </w:p>
    <w:p w14:paraId="3DFBC2B0" w14:textId="77777777" w:rsidR="00E17692" w:rsidRPr="00E17692" w:rsidRDefault="00E17692" w:rsidP="00E17692">
      <w:pPr>
        <w:widowControl w:val="0"/>
        <w:suppressAutoHyphens/>
        <w:autoSpaceDE w:val="0"/>
        <w:spacing w:after="0" w:line="240" w:lineRule="auto"/>
        <w:jc w:val="right"/>
        <w:rPr>
          <w:rFonts w:ascii="Times New Roman CYR" w:eastAsia="Times New Roman" w:hAnsi="Times New Roman CYR" w:cs="Times New Roman CYR"/>
          <w:b/>
          <w:sz w:val="24"/>
          <w:szCs w:val="24"/>
          <w:lang w:eastAsia="zh-CN"/>
        </w:rPr>
      </w:pPr>
      <w:r w:rsidRPr="00E17692">
        <w:rPr>
          <w:rFonts w:ascii="Times New Roman CYR" w:eastAsia="Times New Roman" w:hAnsi="Times New Roman CYR" w:cs="Times New Roman CYR"/>
          <w:b/>
          <w:sz w:val="24"/>
          <w:szCs w:val="24"/>
          <w:lang w:eastAsia="zh-CN"/>
        </w:rPr>
        <w:t>до Тендерної документації</w:t>
      </w:r>
    </w:p>
    <w:p w14:paraId="7E68A922" w14:textId="77777777" w:rsidR="00E17692" w:rsidRPr="00E17692" w:rsidRDefault="00E17692" w:rsidP="00E17692">
      <w:pPr>
        <w:widowControl w:val="0"/>
        <w:tabs>
          <w:tab w:val="left" w:pos="2475"/>
        </w:tabs>
        <w:suppressAutoHyphens/>
        <w:autoSpaceDE w:val="0"/>
        <w:spacing w:after="0" w:line="240" w:lineRule="auto"/>
        <w:rPr>
          <w:rFonts w:ascii="Times New Roman" w:eastAsia="Times New Roman" w:hAnsi="Times New Roman" w:cs="Times New Roman"/>
          <w:b/>
          <w:bCs/>
          <w:iCs/>
          <w:sz w:val="24"/>
          <w:szCs w:val="24"/>
          <w:lang w:eastAsia="zh-CN"/>
        </w:rPr>
      </w:pPr>
    </w:p>
    <w:p w14:paraId="102D7D55" w14:textId="77777777" w:rsidR="00E17692" w:rsidRPr="00E17692" w:rsidRDefault="00E17692" w:rsidP="00E17692">
      <w:pPr>
        <w:widowControl w:val="0"/>
        <w:tabs>
          <w:tab w:val="left" w:pos="2475"/>
        </w:tabs>
        <w:suppressAutoHyphens/>
        <w:autoSpaceDE w:val="0"/>
        <w:spacing w:after="0" w:line="240" w:lineRule="auto"/>
        <w:ind w:left="720"/>
        <w:jc w:val="center"/>
        <w:rPr>
          <w:rFonts w:ascii="Times New Roman" w:eastAsia="Times New Roman" w:hAnsi="Times New Roman" w:cs="Times New Roman"/>
          <w:b/>
          <w:bCs/>
          <w:iCs/>
          <w:sz w:val="24"/>
          <w:szCs w:val="24"/>
          <w:shd w:val="clear" w:color="auto" w:fill="FFFFFF"/>
          <w:lang w:eastAsia="zh-CN"/>
        </w:rPr>
      </w:pPr>
      <w:r w:rsidRPr="00E17692">
        <w:rPr>
          <w:rFonts w:ascii="Times New Roman" w:eastAsia="Times New Roman" w:hAnsi="Times New Roman" w:cs="Times New Roman"/>
          <w:b/>
          <w:bCs/>
          <w:iCs/>
          <w:sz w:val="24"/>
          <w:szCs w:val="24"/>
          <w:lang w:eastAsia="zh-CN"/>
        </w:rPr>
        <w:t xml:space="preserve">Кваліфікаційні критерії до Учасників (відповідно ст. 16 ЗУ «Про публічні закупівлі») та </w:t>
      </w:r>
      <w:r w:rsidRPr="00E17692">
        <w:rPr>
          <w:rFonts w:ascii="Times New Roman" w:eastAsia="Times New Roman" w:hAnsi="Times New Roman" w:cs="Times New Roman"/>
          <w:b/>
          <w:bCs/>
          <w:iCs/>
          <w:sz w:val="24"/>
          <w:szCs w:val="24"/>
          <w:shd w:val="clear" w:color="auto" w:fill="FFFFFF"/>
          <w:lang w:eastAsia="zh-CN"/>
        </w:rPr>
        <w:t xml:space="preserve"> спосіб документального підтвердження відповідності Учасників установленим критеріям</w:t>
      </w:r>
    </w:p>
    <w:p w14:paraId="3C2DE2A5" w14:textId="77777777" w:rsidR="00E17692" w:rsidRPr="00E17692" w:rsidRDefault="00E17692" w:rsidP="00E17692">
      <w:pPr>
        <w:shd w:val="clear" w:color="auto" w:fill="FFFFFF"/>
        <w:spacing w:after="0" w:line="240" w:lineRule="auto"/>
        <w:jc w:val="both"/>
        <w:rPr>
          <w:rFonts w:ascii="Times New Roman" w:eastAsia="Times New Roman" w:hAnsi="Times New Roman" w:cs="Times New Roman"/>
          <w:sz w:val="24"/>
          <w:szCs w:val="24"/>
          <w:lang w:eastAsia="ru-RU"/>
        </w:rPr>
      </w:pPr>
    </w:p>
    <w:tbl>
      <w:tblPr>
        <w:tblW w:w="9634" w:type="dxa"/>
        <w:tblInd w:w="-147" w:type="dxa"/>
        <w:tblLook w:val="04A0" w:firstRow="1" w:lastRow="0" w:firstColumn="1" w:lastColumn="0" w:noHBand="0" w:noVBand="1"/>
      </w:tblPr>
      <w:tblGrid>
        <w:gridCol w:w="2552"/>
        <w:gridCol w:w="7082"/>
      </w:tblGrid>
      <w:tr w:rsidR="00E17692" w:rsidRPr="00E17692" w14:paraId="57D96B85" w14:textId="77777777" w:rsidTr="005549D7">
        <w:tc>
          <w:tcPr>
            <w:tcW w:w="2552" w:type="dxa"/>
          </w:tcPr>
          <w:p w14:paraId="475CB9B2" w14:textId="77777777" w:rsidR="00E17692" w:rsidRPr="00E17692" w:rsidRDefault="00E17692" w:rsidP="00E17692">
            <w:pPr>
              <w:widowControl w:val="0"/>
              <w:suppressAutoHyphens/>
              <w:autoSpaceDE w:val="0"/>
              <w:spacing w:after="0" w:line="240" w:lineRule="auto"/>
              <w:contextualSpacing/>
              <w:jc w:val="both"/>
              <w:rPr>
                <w:rFonts w:ascii="Times New Roman" w:eastAsia="Times New Roman" w:hAnsi="Times New Roman" w:cs="Times New Roman"/>
                <w:b/>
                <w:bCs/>
                <w:sz w:val="24"/>
                <w:szCs w:val="24"/>
              </w:rPr>
            </w:pPr>
            <w:r w:rsidRPr="00E17692">
              <w:rPr>
                <w:rFonts w:ascii="Times New Roman" w:eastAsia="Times New Roman" w:hAnsi="Times New Roman" w:cs="Times New Roman"/>
                <w:b/>
                <w:bCs/>
                <w:sz w:val="24"/>
                <w:szCs w:val="24"/>
              </w:rPr>
              <w:t>Найменування кваліфікаційного критерію</w:t>
            </w:r>
          </w:p>
        </w:tc>
        <w:tc>
          <w:tcPr>
            <w:tcW w:w="7082" w:type="dxa"/>
          </w:tcPr>
          <w:p w14:paraId="4B4CAEC4" w14:textId="77777777" w:rsidR="00E17692" w:rsidRPr="00E17692" w:rsidRDefault="00E17692" w:rsidP="00E17692">
            <w:pPr>
              <w:widowControl w:val="0"/>
              <w:suppressAutoHyphens/>
              <w:autoSpaceDE w:val="0"/>
              <w:spacing w:after="0" w:line="240" w:lineRule="auto"/>
              <w:contextualSpacing/>
              <w:jc w:val="both"/>
              <w:rPr>
                <w:rFonts w:ascii="Times New Roman" w:eastAsia="Times New Roman" w:hAnsi="Times New Roman" w:cs="Times New Roman"/>
                <w:sz w:val="24"/>
                <w:szCs w:val="24"/>
              </w:rPr>
            </w:pPr>
            <w:r w:rsidRPr="00E17692">
              <w:rPr>
                <w:rFonts w:ascii="Times New Roman" w:eastAsia="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E17692" w:rsidRPr="00E17692" w14:paraId="492D5307" w14:textId="77777777" w:rsidTr="005549D7">
        <w:tc>
          <w:tcPr>
            <w:tcW w:w="2552" w:type="dxa"/>
          </w:tcPr>
          <w:p w14:paraId="4AFEB0BF" w14:textId="77777777" w:rsidR="00E17692" w:rsidRPr="00E17692" w:rsidRDefault="00E17692" w:rsidP="00E17692">
            <w:pPr>
              <w:widowControl w:val="0"/>
              <w:suppressAutoHyphens/>
              <w:autoSpaceDE w:val="0"/>
              <w:spacing w:before="120" w:after="0" w:line="240" w:lineRule="auto"/>
              <w:contextualSpacing/>
              <w:rPr>
                <w:rFonts w:ascii="Times New Roman" w:eastAsia="Times New Roman" w:hAnsi="Times New Roman" w:cs="Times New Roman"/>
                <w:b/>
                <w:bCs/>
                <w:sz w:val="24"/>
                <w:szCs w:val="24"/>
              </w:rPr>
            </w:pPr>
            <w:r w:rsidRPr="00E17692">
              <w:rPr>
                <w:rFonts w:ascii="Times New Roman CYR" w:eastAsia="Times New Roman" w:hAnsi="Times New Roman CYR" w:cs="Times New Roman CYR"/>
                <w:b/>
                <w:bCs/>
                <w:color w:val="000000"/>
                <w:sz w:val="24"/>
                <w:szCs w:val="24"/>
                <w:shd w:val="clear" w:color="auto" w:fill="FFFFFF"/>
                <w:lang w:eastAsia="zh-CN"/>
              </w:rPr>
              <w:t>Наявність в Учасника процедури закупівлі обладнання, матеріально-технічної бази та технологій</w:t>
            </w:r>
          </w:p>
        </w:tc>
        <w:tc>
          <w:tcPr>
            <w:tcW w:w="7082" w:type="dxa"/>
          </w:tcPr>
          <w:p w14:paraId="27CF6AA7" w14:textId="77777777" w:rsidR="00E17692" w:rsidRPr="00E17692" w:rsidRDefault="00E17692" w:rsidP="00E17692">
            <w:pPr>
              <w:widowControl w:val="0"/>
              <w:suppressAutoHyphens/>
              <w:autoSpaceDE w:val="0"/>
              <w:spacing w:after="0" w:line="240" w:lineRule="auto"/>
              <w:contextualSpacing/>
              <w:jc w:val="both"/>
              <w:rPr>
                <w:rFonts w:ascii="Times New Roman" w:eastAsia="Times New Roman" w:hAnsi="Times New Roman" w:cs="Times New Roman"/>
                <w:sz w:val="24"/>
                <w:szCs w:val="24"/>
                <w:lang w:eastAsia="ru-RU" w:bidi="gu-IN"/>
              </w:rPr>
            </w:pPr>
            <w:r w:rsidRPr="00E17692">
              <w:rPr>
                <w:rFonts w:ascii="Times New Roman" w:eastAsia="Times New Roman" w:hAnsi="Times New Roman" w:cs="Times New Roman"/>
                <w:sz w:val="24"/>
                <w:szCs w:val="24"/>
                <w:lang w:eastAsia="ru-RU" w:bidi="gu-IN"/>
              </w:rPr>
              <w:t>Учасник надає інформацію (у довільній формі) про наявність в нього  інвентарю, обладнання, автотранспортних засобів, що використовуються для транспортування продуктів харчування, складського приміщення, яке використовується для зберігання  харчових продуктів та іншої матеріально-технічної бази, яка є достатньою для надання послуг по організації  харчування учнів,</w:t>
            </w:r>
            <w:r w:rsidRPr="00E17692">
              <w:rPr>
                <w:rFonts w:ascii="Times New Roman" w:eastAsia="Times New Roman" w:hAnsi="Times New Roman" w:cs="Times New Roman"/>
                <w:bCs/>
                <w:sz w:val="24"/>
                <w:szCs w:val="24"/>
                <w:lang w:eastAsia="ru-RU"/>
              </w:rPr>
              <w:t xml:space="preserve"> вихованців</w:t>
            </w:r>
            <w:r w:rsidRPr="00E17692">
              <w:rPr>
                <w:rFonts w:ascii="Times New Roman" w:eastAsia="Times New Roman" w:hAnsi="Times New Roman" w:cs="Times New Roman"/>
                <w:sz w:val="24"/>
                <w:szCs w:val="24"/>
                <w:lang w:eastAsia="ru-RU" w:bidi="gu-IN"/>
              </w:rPr>
              <w:t xml:space="preserve"> закладів загальної середньої та дошкільної освіти Ємільчинської селищної ради.       Обладнання (теплове, холодильне,</w:t>
            </w:r>
          </w:p>
          <w:p w14:paraId="5B3B4549" w14:textId="77777777" w:rsidR="00E17692" w:rsidRPr="00E17692" w:rsidRDefault="00E17692" w:rsidP="00E17692">
            <w:pPr>
              <w:widowControl w:val="0"/>
              <w:suppressAutoHyphens/>
              <w:autoSpaceDE w:val="0"/>
              <w:spacing w:after="0" w:line="240" w:lineRule="auto"/>
              <w:contextualSpacing/>
              <w:jc w:val="both"/>
              <w:rPr>
                <w:rFonts w:ascii="Times New Roman" w:eastAsia="Times New Roman" w:hAnsi="Times New Roman" w:cs="Times New Roman"/>
                <w:sz w:val="24"/>
                <w:szCs w:val="24"/>
                <w:lang w:eastAsia="ru-RU" w:bidi="gu-IN"/>
              </w:rPr>
            </w:pPr>
            <w:r w:rsidRPr="00E17692">
              <w:rPr>
                <w:rFonts w:ascii="Times New Roman" w:eastAsia="Times New Roman" w:hAnsi="Times New Roman" w:cs="Times New Roman"/>
                <w:sz w:val="24"/>
                <w:szCs w:val="24"/>
                <w:lang w:eastAsia="ru-RU" w:bidi="gu-IN"/>
              </w:rPr>
              <w:t>технологічне) та інвентар мають бути такими, яке  використовується при наданні відповідних послуг.</w:t>
            </w:r>
          </w:p>
          <w:p w14:paraId="0BDDD957" w14:textId="77777777" w:rsidR="00E17692" w:rsidRPr="00E17692" w:rsidRDefault="00E17692" w:rsidP="00E17692">
            <w:pPr>
              <w:tabs>
                <w:tab w:val="left" w:pos="8364"/>
              </w:tabs>
              <w:spacing w:after="0" w:line="240" w:lineRule="auto"/>
              <w:jc w:val="both"/>
              <w:rPr>
                <w:rFonts w:ascii="Times New Roman" w:eastAsia="Times New Roman" w:hAnsi="Times New Roman" w:cs="Times New Roman"/>
                <w:sz w:val="24"/>
                <w:szCs w:val="24"/>
                <w:lang w:eastAsia="ru-RU" w:bidi="gu-IN"/>
              </w:rPr>
            </w:pPr>
            <w:r w:rsidRPr="00E17692">
              <w:rPr>
                <w:rFonts w:ascii="Times New Roman" w:eastAsia="Times New Roman" w:hAnsi="Times New Roman" w:cs="Times New Roman"/>
                <w:sz w:val="24"/>
                <w:szCs w:val="24"/>
                <w:lang w:eastAsia="ru-RU" w:bidi="gu-IN"/>
              </w:rPr>
              <w:t>Для підтвердження права володіння/користування Учасником вказаними ним об’єктами матеріально-технічної бази, Учасник надає  документи, які підтверджують право володіння/користування Учасником цими об’єктами.</w:t>
            </w:r>
          </w:p>
          <w:p w14:paraId="58E78D96" w14:textId="77777777" w:rsidR="00E17692" w:rsidRPr="00E17692" w:rsidRDefault="00E17692" w:rsidP="00E17692">
            <w:pPr>
              <w:widowControl w:val="0"/>
              <w:suppressAutoHyphens/>
              <w:autoSpaceDE w:val="0"/>
              <w:autoSpaceDN w:val="0"/>
              <w:adjustRightInd w:val="0"/>
              <w:spacing w:after="0" w:line="240" w:lineRule="auto"/>
              <w:jc w:val="both"/>
              <w:rPr>
                <w:rFonts w:ascii="Times New Roman CYR" w:eastAsia="Calibri" w:hAnsi="Times New Roman CYR" w:cs="Times New Roman"/>
                <w:color w:val="000000"/>
                <w:sz w:val="24"/>
                <w:szCs w:val="24"/>
                <w:lang w:eastAsia="en-US"/>
              </w:rPr>
            </w:pPr>
            <w:r w:rsidRPr="00E17692">
              <w:rPr>
                <w:rFonts w:ascii="Times New Roman CYR" w:eastAsia="Times New Roman" w:hAnsi="Times New Roman CYR" w:cs="Times New Roman CYR"/>
                <w:color w:val="000000"/>
                <w:sz w:val="24"/>
                <w:szCs w:val="24"/>
                <w:lang w:eastAsia="zh-CN"/>
              </w:rPr>
              <w:t xml:space="preserve"> До документів, які надаються Учасником процедури</w:t>
            </w:r>
            <w:r w:rsidRPr="00E17692">
              <w:rPr>
                <w:rFonts w:ascii="Times New Roman CYR" w:eastAsia="Calibri" w:hAnsi="Times New Roman CYR" w:cs="Times New Roman CYR"/>
                <w:color w:val="000000"/>
                <w:sz w:val="24"/>
                <w:szCs w:val="24"/>
                <w:lang w:eastAsia="en-US"/>
              </w:rPr>
              <w:t xml:space="preserve"> закупівлі, що підтверджують правовий статус набуття (володіння, користування) складських приміщень, транспортних засобів, обладнання можуть належати:</w:t>
            </w:r>
          </w:p>
          <w:p w14:paraId="462F890F" w14:textId="77777777" w:rsidR="00E17692" w:rsidRPr="00E17692" w:rsidRDefault="00E17692" w:rsidP="00E17692">
            <w:pPr>
              <w:widowControl w:val="0"/>
              <w:suppressAutoHyphens/>
              <w:autoSpaceDE w:val="0"/>
              <w:spacing w:after="0" w:line="240" w:lineRule="auto"/>
              <w:jc w:val="both"/>
              <w:rPr>
                <w:rFonts w:ascii="Times New Roman CYR" w:eastAsia="Calibri" w:hAnsi="Times New Roman CYR" w:cs="Times New Roman CYR"/>
                <w:color w:val="000000"/>
                <w:sz w:val="24"/>
                <w:szCs w:val="24"/>
                <w:lang w:eastAsia="en-US"/>
              </w:rPr>
            </w:pPr>
            <w:r w:rsidRPr="00E17692">
              <w:rPr>
                <w:rFonts w:ascii="Times New Roman CYR" w:eastAsia="Calibri" w:hAnsi="Times New Roman CYR" w:cs="Times New Roman"/>
                <w:color w:val="000000"/>
                <w:sz w:val="24"/>
                <w:szCs w:val="24"/>
                <w:lang w:eastAsia="en-US"/>
              </w:rPr>
              <w:t xml:space="preserve">1) </w:t>
            </w:r>
            <w:r w:rsidRPr="00E17692">
              <w:rPr>
                <w:rFonts w:ascii="Times New Roman CYR" w:eastAsia="Calibri" w:hAnsi="Times New Roman CYR" w:cs="Times New Roman CYR"/>
                <w:color w:val="000000"/>
                <w:sz w:val="24"/>
                <w:szCs w:val="24"/>
                <w:lang w:eastAsia="en-US"/>
              </w:rPr>
              <w:t>договори про право власності або інші правочини, що підтверджують право власності Учасника процедури закупівлі на об</w:t>
            </w:r>
            <w:r w:rsidRPr="00E17692">
              <w:rPr>
                <w:rFonts w:ascii="Times New Roman CYR" w:eastAsia="Calibri" w:hAnsi="Times New Roman CYR" w:cs="Times New Roman"/>
                <w:color w:val="000000"/>
                <w:sz w:val="24"/>
                <w:szCs w:val="24"/>
                <w:lang w:eastAsia="en-US"/>
              </w:rPr>
              <w:t>’</w:t>
            </w:r>
            <w:r w:rsidRPr="00E17692">
              <w:rPr>
                <w:rFonts w:ascii="Times New Roman CYR" w:eastAsia="Calibri" w:hAnsi="Times New Roman CYR" w:cs="Times New Roman CYR"/>
                <w:color w:val="000000"/>
                <w:sz w:val="24"/>
                <w:szCs w:val="24"/>
                <w:lang w:eastAsia="en-US"/>
              </w:rPr>
              <w:t xml:space="preserve">єкти матеріально- технічної бази; </w:t>
            </w:r>
          </w:p>
          <w:p w14:paraId="28A9EEED" w14:textId="77777777" w:rsidR="00E17692" w:rsidRPr="00E17692" w:rsidRDefault="00E17692" w:rsidP="00E17692">
            <w:pPr>
              <w:widowControl w:val="0"/>
              <w:suppressAutoHyphens/>
              <w:autoSpaceDE w:val="0"/>
              <w:spacing w:after="0" w:line="240" w:lineRule="auto"/>
              <w:jc w:val="both"/>
              <w:rPr>
                <w:rFonts w:ascii="Times New Roman CYR" w:eastAsia="Calibri" w:hAnsi="Times New Roman CYR" w:cs="Times New Roman CYR"/>
                <w:color w:val="000000"/>
                <w:sz w:val="24"/>
                <w:szCs w:val="24"/>
                <w:lang w:eastAsia="en-US"/>
              </w:rPr>
            </w:pPr>
            <w:r w:rsidRPr="00E17692">
              <w:rPr>
                <w:rFonts w:ascii="Times New Roman CYR" w:eastAsia="Calibri" w:hAnsi="Times New Roman CYR" w:cs="Times New Roman"/>
                <w:color w:val="000000"/>
                <w:sz w:val="24"/>
                <w:szCs w:val="24"/>
                <w:lang w:eastAsia="en-US"/>
              </w:rPr>
              <w:t xml:space="preserve">2) </w:t>
            </w:r>
            <w:r w:rsidRPr="00E17692">
              <w:rPr>
                <w:rFonts w:ascii="Times New Roman CYR" w:eastAsia="Calibri" w:hAnsi="Times New Roman CYR" w:cs="Times New Roman CYR"/>
                <w:color w:val="000000"/>
                <w:sz w:val="24"/>
                <w:szCs w:val="24"/>
                <w:lang w:eastAsia="en-US"/>
              </w:rPr>
              <w:t>договори оренди/суборенди, лізингу/</w:t>
            </w:r>
            <w:proofErr w:type="spellStart"/>
            <w:r w:rsidRPr="00E17692">
              <w:rPr>
                <w:rFonts w:ascii="Times New Roman CYR" w:eastAsia="Calibri" w:hAnsi="Times New Roman CYR" w:cs="Times New Roman CYR"/>
                <w:color w:val="000000"/>
                <w:sz w:val="24"/>
                <w:szCs w:val="24"/>
                <w:lang w:eastAsia="en-US"/>
              </w:rPr>
              <w:t>сублізингу</w:t>
            </w:r>
            <w:proofErr w:type="spellEnd"/>
            <w:r w:rsidRPr="00E17692">
              <w:rPr>
                <w:rFonts w:ascii="Times New Roman CYR" w:eastAsia="Calibri" w:hAnsi="Times New Roman CYR" w:cs="Times New Roman CYR"/>
                <w:color w:val="000000"/>
                <w:sz w:val="24"/>
                <w:szCs w:val="24"/>
                <w:lang w:eastAsia="en-US"/>
              </w:rPr>
              <w:t xml:space="preserve"> об</w:t>
            </w:r>
            <w:r w:rsidRPr="00E17692">
              <w:rPr>
                <w:rFonts w:ascii="Times New Roman CYR" w:eastAsia="Calibri" w:hAnsi="Times New Roman CYR" w:cs="Times New Roman"/>
                <w:color w:val="000000"/>
                <w:sz w:val="24"/>
                <w:szCs w:val="24"/>
                <w:lang w:eastAsia="en-US"/>
              </w:rPr>
              <w:t>’</w:t>
            </w:r>
            <w:r w:rsidRPr="00E17692">
              <w:rPr>
                <w:rFonts w:ascii="Times New Roman CYR" w:eastAsia="Calibri" w:hAnsi="Times New Roman CYR" w:cs="Times New Roman CYR"/>
                <w:color w:val="000000"/>
                <w:sz w:val="24"/>
                <w:szCs w:val="24"/>
                <w:lang w:eastAsia="en-US"/>
              </w:rPr>
              <w:t>єктів матеріально- технічної бази та інші правочини, передбачені законодавством (у разі, якщо об</w:t>
            </w:r>
            <w:r w:rsidRPr="00E17692">
              <w:rPr>
                <w:rFonts w:ascii="Times New Roman CYR" w:eastAsia="Calibri" w:hAnsi="Times New Roman CYR" w:cs="Times New Roman"/>
                <w:color w:val="000000"/>
                <w:sz w:val="24"/>
                <w:szCs w:val="24"/>
                <w:lang w:eastAsia="en-US"/>
              </w:rPr>
              <w:t>’</w:t>
            </w:r>
            <w:r w:rsidRPr="00E17692">
              <w:rPr>
                <w:rFonts w:ascii="Times New Roman CYR" w:eastAsia="Calibri" w:hAnsi="Times New Roman CYR" w:cs="Times New Roman CYR"/>
                <w:color w:val="000000"/>
                <w:sz w:val="24"/>
                <w:szCs w:val="24"/>
                <w:lang w:eastAsia="en-US"/>
              </w:rPr>
              <w:t>єкти матеріально-технічної бази належать учаснику процедури закупівлі не на праві власності),</w:t>
            </w:r>
          </w:p>
          <w:p w14:paraId="1A3FB1D9" w14:textId="77777777" w:rsidR="00E17692" w:rsidRPr="00E17692" w:rsidRDefault="00E17692" w:rsidP="00E17692">
            <w:pPr>
              <w:widowControl w:val="0"/>
              <w:suppressAutoHyphens/>
              <w:autoSpaceDE w:val="0"/>
              <w:spacing w:after="0" w:line="240" w:lineRule="auto"/>
              <w:jc w:val="both"/>
              <w:rPr>
                <w:rFonts w:ascii="Times New Roman CYR" w:eastAsia="Calibri" w:hAnsi="Times New Roman CYR" w:cs="Times New Roman CYR"/>
                <w:color w:val="000000"/>
                <w:sz w:val="24"/>
                <w:szCs w:val="24"/>
                <w:lang w:eastAsia="en-US"/>
              </w:rPr>
            </w:pPr>
            <w:r w:rsidRPr="00E17692">
              <w:rPr>
                <w:rFonts w:ascii="Times New Roman CYR" w:eastAsia="Calibri" w:hAnsi="Times New Roman CYR" w:cs="Times New Roman"/>
                <w:color w:val="000000"/>
                <w:sz w:val="24"/>
                <w:szCs w:val="24"/>
                <w:lang w:eastAsia="en-US"/>
              </w:rPr>
              <w:t xml:space="preserve">3) </w:t>
            </w:r>
            <w:r w:rsidRPr="00E17692">
              <w:rPr>
                <w:rFonts w:ascii="Times New Roman CYR" w:eastAsia="Calibri" w:hAnsi="Times New Roman CYR" w:cs="Times New Roman CYR"/>
                <w:color w:val="000000"/>
                <w:sz w:val="24"/>
                <w:szCs w:val="24"/>
                <w:lang w:eastAsia="en-US"/>
              </w:rPr>
              <w:t>акти приймання-передачі об</w:t>
            </w:r>
            <w:r w:rsidRPr="00E17692">
              <w:rPr>
                <w:rFonts w:ascii="Times New Roman CYR" w:eastAsia="Calibri" w:hAnsi="Times New Roman CYR" w:cs="Times New Roman"/>
                <w:color w:val="000000"/>
                <w:sz w:val="24"/>
                <w:szCs w:val="24"/>
                <w:lang w:eastAsia="en-US"/>
              </w:rPr>
              <w:t>’</w:t>
            </w:r>
            <w:r w:rsidRPr="00E17692">
              <w:rPr>
                <w:rFonts w:ascii="Times New Roman CYR" w:eastAsia="Calibri" w:hAnsi="Times New Roman CYR" w:cs="Times New Roman CYR"/>
                <w:color w:val="000000"/>
                <w:sz w:val="24"/>
                <w:szCs w:val="24"/>
                <w:lang w:eastAsia="en-US"/>
              </w:rPr>
              <w:t>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w:t>
            </w:r>
            <w:r w:rsidRPr="00E17692">
              <w:rPr>
                <w:rFonts w:ascii="Times New Roman CYR" w:eastAsia="Calibri" w:hAnsi="Times New Roman CYR" w:cs="Times New Roman"/>
                <w:color w:val="000000"/>
                <w:sz w:val="24"/>
                <w:szCs w:val="24"/>
                <w:lang w:eastAsia="en-US"/>
              </w:rPr>
              <w:t>’</w:t>
            </w:r>
            <w:r w:rsidRPr="00E17692">
              <w:rPr>
                <w:rFonts w:ascii="Times New Roman CYR" w:eastAsia="Calibri" w:hAnsi="Times New Roman CYR" w:cs="Times New Roman CYR"/>
                <w:color w:val="000000"/>
                <w:sz w:val="24"/>
                <w:szCs w:val="24"/>
                <w:lang w:eastAsia="en-US"/>
              </w:rPr>
              <w:t xml:space="preserve">єктів матеріально-технічної бази, у тому числі передбачені умовами договорів суборенди, </w:t>
            </w:r>
            <w:proofErr w:type="spellStart"/>
            <w:r w:rsidRPr="00E17692">
              <w:rPr>
                <w:rFonts w:ascii="Times New Roman CYR" w:eastAsia="Calibri" w:hAnsi="Times New Roman CYR" w:cs="Times New Roman CYR"/>
                <w:color w:val="000000"/>
                <w:sz w:val="24"/>
                <w:szCs w:val="24"/>
                <w:lang w:eastAsia="en-US"/>
              </w:rPr>
              <w:t>сублізингу</w:t>
            </w:r>
            <w:proofErr w:type="spellEnd"/>
            <w:r w:rsidRPr="00E17692">
              <w:rPr>
                <w:rFonts w:ascii="Times New Roman CYR" w:eastAsia="Calibri" w:hAnsi="Times New Roman CYR" w:cs="Times New Roman CYR"/>
                <w:color w:val="000000"/>
                <w:sz w:val="24"/>
                <w:szCs w:val="24"/>
                <w:lang w:eastAsia="en-US"/>
              </w:rPr>
              <w:t xml:space="preserve"> та інших правочинів, стороною якого є третя особа, яка не є власником техніки.</w:t>
            </w:r>
          </w:p>
          <w:p w14:paraId="18968AB5" w14:textId="77777777" w:rsidR="00E17692" w:rsidRPr="00E17692" w:rsidRDefault="00E17692" w:rsidP="00E17692">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E17692">
              <w:rPr>
                <w:rFonts w:ascii="Times New Roman CYR" w:eastAsia="Calibri" w:hAnsi="Times New Roman CYR" w:cs="Times New Roman CYR"/>
                <w:color w:val="000000"/>
                <w:sz w:val="24"/>
                <w:szCs w:val="24"/>
                <w:lang w:eastAsia="en-US"/>
              </w:rPr>
              <w:t>Договори та інші правочини, передбачені законодавством, мають бути чинні на день подання Тендерної пропозиції та містити умови про можливість пролонгації строку їх дії на строк надання відповідних послуг, у разі якщо їх строк менше строку Договору про закупівлю</w:t>
            </w:r>
            <w:r w:rsidRPr="00E17692">
              <w:rPr>
                <w:rFonts w:ascii="Times New Roman CYR" w:eastAsia="Calibri" w:hAnsi="Times New Roman CYR" w:cs="Times New Roman CYR"/>
                <w:color w:val="313433"/>
                <w:sz w:val="24"/>
                <w:szCs w:val="24"/>
                <w:lang w:eastAsia="en-US"/>
              </w:rPr>
              <w:t>.</w:t>
            </w:r>
            <w:r w:rsidRPr="00E17692">
              <w:rPr>
                <w:rFonts w:ascii="Times New Roman CYR" w:eastAsia="Times New Roman" w:hAnsi="Times New Roman CYR" w:cs="Times New Roman CYR"/>
                <w:color w:val="000000"/>
                <w:sz w:val="24"/>
                <w:szCs w:val="24"/>
                <w:lang w:eastAsia="zh-CN"/>
              </w:rPr>
              <w:t xml:space="preserve"> Відповідно до ст. 20 ЗУ «Про основні принципи та вимоги до безпечності та якості харчових продуктів» та для</w:t>
            </w:r>
            <w:r w:rsidRPr="00E17692">
              <w:rPr>
                <w:rFonts w:ascii="Times New Roman" w:eastAsia="Times New Roman" w:hAnsi="Times New Roman" w:cs="Times New Roman"/>
                <w:sz w:val="24"/>
                <w:szCs w:val="24"/>
                <w:lang w:eastAsia="zh-CN"/>
              </w:rPr>
              <w:t xml:space="preserve"> підтвердження належного стану обладнання та матеріально-технічної бази, </w:t>
            </w:r>
            <w:r w:rsidRPr="00E17692">
              <w:rPr>
                <w:rFonts w:ascii="Times New Roman" w:eastAsia="Times New Roman" w:hAnsi="Times New Roman" w:cs="Times New Roman"/>
                <w:color w:val="000000"/>
                <w:sz w:val="24"/>
                <w:szCs w:val="24"/>
                <w:lang w:eastAsia="ru-RU"/>
              </w:rPr>
              <w:t xml:space="preserve">Учасник повинен </w:t>
            </w:r>
            <w:r w:rsidRPr="00E17692">
              <w:rPr>
                <w:rFonts w:ascii="Times New Roman CYR" w:eastAsia="Times New Roman" w:hAnsi="Times New Roman CYR" w:cs="Times New Roman CYR"/>
                <w:color w:val="000000"/>
                <w:sz w:val="24"/>
                <w:szCs w:val="24"/>
                <w:lang w:eastAsia="zh-CN"/>
              </w:rPr>
              <w:t xml:space="preserve">надати  документи, що підтверджують державну реєстрацію виробничих потужностей, які використовуються для надання послуг, та складського приміщення та/або експлуатаційний дозвіл  на  </w:t>
            </w:r>
            <w:r w:rsidRPr="00E17692">
              <w:rPr>
                <w:rFonts w:ascii="Times New Roman CYR" w:eastAsia="Times New Roman" w:hAnsi="Times New Roman CYR" w:cs="Times New Roman CYR"/>
                <w:color w:val="000000"/>
                <w:sz w:val="24"/>
                <w:szCs w:val="24"/>
                <w:lang w:eastAsia="zh-CN"/>
              </w:rPr>
              <w:lastRenderedPageBreak/>
              <w:t>потужності/складське приміщення.</w:t>
            </w:r>
          </w:p>
          <w:p w14:paraId="6253F00F" w14:textId="77777777" w:rsidR="00E17692" w:rsidRPr="00E17692" w:rsidRDefault="00E17692" w:rsidP="00E17692">
            <w:pPr>
              <w:tabs>
                <w:tab w:val="left" w:pos="8364"/>
              </w:tabs>
              <w:spacing w:after="0" w:line="240" w:lineRule="auto"/>
              <w:jc w:val="both"/>
              <w:rPr>
                <w:rFonts w:ascii="Times New Roman" w:eastAsia="Times New Roman" w:hAnsi="Times New Roman" w:cs="Times New Roman"/>
                <w:sz w:val="24"/>
                <w:szCs w:val="24"/>
                <w:lang w:eastAsia="ru-RU" w:bidi="gu-IN"/>
              </w:rPr>
            </w:pPr>
            <w:r w:rsidRPr="00E17692">
              <w:rPr>
                <w:rFonts w:ascii="Times New Roman" w:eastAsia="Times New Roman" w:hAnsi="Times New Roman" w:cs="Times New Roman"/>
                <w:sz w:val="24"/>
                <w:szCs w:val="24"/>
                <w:lang w:eastAsia="ru-RU" w:bidi="gu-IN"/>
              </w:rPr>
              <w:t>На виконання</w:t>
            </w:r>
            <w:r w:rsidRPr="00E17692">
              <w:rPr>
                <w:rFonts w:ascii="Times New Roman CYR" w:eastAsia="Times New Roman" w:hAnsi="Times New Roman CYR" w:cs="Times New Roman CYR"/>
                <w:color w:val="000000"/>
                <w:sz w:val="24"/>
                <w:szCs w:val="24"/>
                <w:lang w:eastAsia="zh-CN"/>
              </w:rPr>
              <w:t xml:space="preserve"> до п. 4 ст. 20 ЗУ «Про основні принципи та вимоги до безпечності та якості харчових продуктів»</w:t>
            </w:r>
            <w:r w:rsidRPr="00E17692">
              <w:rPr>
                <w:rFonts w:ascii="Times New Roman" w:eastAsia="Times New Roman" w:hAnsi="Times New Roman" w:cs="Times New Roman"/>
                <w:color w:val="000000"/>
                <w:sz w:val="24"/>
                <w:szCs w:val="24"/>
                <w:lang w:eastAsia="ru-RU"/>
              </w:rPr>
              <w:t xml:space="preserve">, </w:t>
            </w:r>
            <w:r w:rsidRPr="00E17692">
              <w:rPr>
                <w:rFonts w:ascii="Times New Roman CYR" w:eastAsia="Times New Roman" w:hAnsi="Times New Roman CYR" w:cs="Times New Roman CYR"/>
                <w:sz w:val="24"/>
                <w:szCs w:val="24"/>
                <w:lang w:eastAsia="zh-CN"/>
              </w:rPr>
              <w:t xml:space="preserve">Учасник надає Гарантійний лист, що у разі визнання його переможцем процедурі закупівлі, протягом 10 робочих днів з моменту укладення Договору про закупівлю, він зобов’язується </w:t>
            </w:r>
            <w:r w:rsidRPr="00E17692">
              <w:rPr>
                <w:rFonts w:ascii="Times New Roman" w:eastAsia="Times New Roman" w:hAnsi="Times New Roman" w:cs="Times New Roman"/>
                <w:sz w:val="24"/>
                <w:szCs w:val="24"/>
                <w:lang w:eastAsia="ru-RU" w:bidi="gu-IN"/>
              </w:rPr>
              <w:t>провести державну реєстрацію потужностей</w:t>
            </w:r>
            <w:r w:rsidRPr="00E17692">
              <w:rPr>
                <w:rFonts w:ascii="Times New Roman CYR" w:eastAsia="Times New Roman" w:hAnsi="Times New Roman CYR" w:cs="Times New Roman CYR"/>
                <w:sz w:val="24"/>
                <w:szCs w:val="24"/>
                <w:lang w:eastAsia="zh-CN"/>
              </w:rPr>
              <w:t>, які будуть використовуватимуться ним, як оператором ринку харчових продуктів  для надання послуг з організації харчування дітей.</w:t>
            </w:r>
          </w:p>
        </w:tc>
      </w:tr>
      <w:tr w:rsidR="00E17692" w:rsidRPr="00E17692" w14:paraId="151FA3EB" w14:textId="77777777" w:rsidTr="005549D7">
        <w:tc>
          <w:tcPr>
            <w:tcW w:w="2552" w:type="dxa"/>
          </w:tcPr>
          <w:p w14:paraId="6AD71CBD" w14:textId="77777777" w:rsidR="00E17692" w:rsidRPr="00E17692" w:rsidRDefault="00E17692" w:rsidP="00E17692">
            <w:pPr>
              <w:widowControl w:val="0"/>
              <w:suppressAutoHyphens/>
              <w:autoSpaceDE w:val="0"/>
              <w:spacing w:after="0" w:line="240" w:lineRule="auto"/>
              <w:contextualSpacing/>
              <w:rPr>
                <w:rFonts w:ascii="Times New Roman" w:eastAsia="Times New Roman" w:hAnsi="Times New Roman" w:cs="Times New Roman"/>
                <w:b/>
                <w:bCs/>
                <w:sz w:val="24"/>
                <w:szCs w:val="24"/>
              </w:rPr>
            </w:pPr>
            <w:r w:rsidRPr="00E17692">
              <w:rPr>
                <w:rFonts w:ascii="Times New Roman CYR" w:eastAsia="Times New Roman" w:hAnsi="Times New Roman CYR" w:cs="Times New Roman CYR"/>
                <w:b/>
                <w:bCs/>
                <w:color w:val="000000"/>
                <w:sz w:val="24"/>
                <w:szCs w:val="24"/>
                <w:shd w:val="clear" w:color="auto" w:fill="FFFFFF"/>
                <w:lang w:eastAsia="zh-CN"/>
              </w:rPr>
              <w:lastRenderedPageBreak/>
              <w:t>Наявність в Учасника процедури закупівлі працівників відповідної кваліфікації, які мають необхідні знання та досвід</w:t>
            </w:r>
          </w:p>
        </w:tc>
        <w:tc>
          <w:tcPr>
            <w:tcW w:w="7082" w:type="dxa"/>
          </w:tcPr>
          <w:p w14:paraId="59767FC3" w14:textId="77777777" w:rsidR="00E17692" w:rsidRPr="00E17692" w:rsidRDefault="00E17692" w:rsidP="00E17692">
            <w:pPr>
              <w:tabs>
                <w:tab w:val="left" w:pos="8364"/>
              </w:tabs>
              <w:spacing w:after="0" w:line="240" w:lineRule="auto"/>
              <w:jc w:val="both"/>
              <w:rPr>
                <w:rFonts w:ascii="Times New Roman CYR" w:eastAsia="Times New Roman" w:hAnsi="Times New Roman CYR" w:cs="Times New Roman CYR"/>
                <w:sz w:val="24"/>
                <w:szCs w:val="24"/>
                <w:lang w:eastAsia="zh-CN"/>
              </w:rPr>
            </w:pPr>
            <w:r w:rsidRPr="00E17692">
              <w:rPr>
                <w:rFonts w:ascii="Times New Roman CYR" w:eastAsia="Times New Roman" w:hAnsi="Times New Roman CYR" w:cs="Times New Roman CYR"/>
                <w:sz w:val="24"/>
                <w:szCs w:val="24"/>
                <w:lang w:eastAsia="zh-CN"/>
              </w:rPr>
              <w:t xml:space="preserve">Учасник надає інформацію </w:t>
            </w:r>
            <w:r w:rsidRPr="00E17692">
              <w:rPr>
                <w:rFonts w:ascii="Times New Roman" w:eastAsia="Times New Roman" w:hAnsi="Times New Roman" w:cs="Times New Roman"/>
                <w:sz w:val="24"/>
                <w:szCs w:val="24"/>
                <w:lang w:eastAsia="ru-RU" w:bidi="gu-IN"/>
              </w:rPr>
              <w:t xml:space="preserve">(у довільній формі) </w:t>
            </w:r>
            <w:r w:rsidRPr="00E17692">
              <w:rPr>
                <w:rFonts w:ascii="Times New Roman CYR" w:eastAsia="Times New Roman" w:hAnsi="Times New Roman CYR" w:cs="Times New Roman CYR"/>
                <w:sz w:val="24"/>
                <w:szCs w:val="24"/>
                <w:lang w:eastAsia="zh-CN"/>
              </w:rPr>
              <w:t xml:space="preserve"> про працівників, які мають необхідні знання, досвід для надання послуги та які безпосередньо будуть задіяні в процесі приготування їжі, а саме кухарів з досвідом роботи за спеціальністю, а також інших працівників, кухонних робітників, водіїв та інших для надання послуги, що є предметом закупівлі.</w:t>
            </w:r>
          </w:p>
          <w:p w14:paraId="3210347B" w14:textId="77777777" w:rsidR="00E17692" w:rsidRPr="00E17692" w:rsidRDefault="00E17692" w:rsidP="00E17692">
            <w:pPr>
              <w:tabs>
                <w:tab w:val="left" w:pos="8364"/>
              </w:tabs>
              <w:spacing w:after="0" w:line="240" w:lineRule="auto"/>
              <w:jc w:val="both"/>
              <w:rPr>
                <w:rFonts w:ascii="Times New Roman" w:eastAsia="Times New Roman" w:hAnsi="Times New Roman" w:cs="Times New Roman"/>
                <w:sz w:val="24"/>
                <w:szCs w:val="24"/>
                <w:lang w:eastAsia="ru-RU" w:bidi="gu-IN"/>
              </w:rPr>
            </w:pPr>
            <w:r w:rsidRPr="00E17692">
              <w:rPr>
                <w:rFonts w:ascii="Times New Roman" w:eastAsia="Times New Roman" w:hAnsi="Times New Roman" w:cs="Times New Roman"/>
                <w:sz w:val="24"/>
                <w:szCs w:val="24"/>
                <w:lang w:eastAsia="ru-RU" w:bidi="gu-IN"/>
              </w:rPr>
              <w:t xml:space="preserve"> Персональні дані про працівників (ПІП, ідентифікаційні коди) можуть бути подані Учасником за наявності згоди від суб’єктів персональних даних на їх обробку з дотриманням ЗУ «Про захист персональних даних». </w:t>
            </w:r>
          </w:p>
          <w:p w14:paraId="32BA27F4" w14:textId="77777777" w:rsidR="00E17692" w:rsidRPr="00E17692" w:rsidRDefault="00E17692" w:rsidP="00E17692">
            <w:pPr>
              <w:tabs>
                <w:tab w:val="left" w:pos="8364"/>
              </w:tabs>
              <w:spacing w:after="0" w:line="240" w:lineRule="auto"/>
              <w:jc w:val="both"/>
              <w:rPr>
                <w:rFonts w:ascii="Times New Roman" w:eastAsia="Times New Roman" w:hAnsi="Times New Roman" w:cs="Times New Roman"/>
                <w:sz w:val="24"/>
                <w:szCs w:val="24"/>
                <w:lang w:eastAsia="ru-RU" w:bidi="gu-IN"/>
              </w:rPr>
            </w:pPr>
            <w:r w:rsidRPr="00E17692">
              <w:rPr>
                <w:rFonts w:ascii="Times New Roman" w:eastAsia="Times New Roman" w:hAnsi="Times New Roman" w:cs="Times New Roman"/>
                <w:sz w:val="24"/>
                <w:szCs w:val="24"/>
                <w:lang w:eastAsia="ru-RU" w:bidi="gu-IN"/>
              </w:rPr>
              <w:t>У разі відсутності достатньої кількості працівників, Учасник надає Гарантійний лист-зобов’язання, за яким у разі визначення його Переможцем процедури закупівлі, він зобов’язується найняти на роботу достатню кількість працівників для забезпечення надання послуг.</w:t>
            </w:r>
          </w:p>
          <w:p w14:paraId="2A9B8A3E" w14:textId="77777777" w:rsidR="00E17692" w:rsidRPr="00E17692" w:rsidRDefault="00E17692" w:rsidP="00E17692">
            <w:pPr>
              <w:tabs>
                <w:tab w:val="left" w:pos="8364"/>
              </w:tabs>
              <w:spacing w:after="0" w:line="240" w:lineRule="auto"/>
              <w:jc w:val="both"/>
              <w:rPr>
                <w:rFonts w:ascii="Times New Roman" w:eastAsia="Times New Roman" w:hAnsi="Times New Roman" w:cs="Times New Roman"/>
                <w:color w:val="000000"/>
                <w:sz w:val="24"/>
                <w:szCs w:val="24"/>
                <w:lang w:eastAsia="ru-RU"/>
              </w:rPr>
            </w:pPr>
            <w:r w:rsidRPr="00E17692">
              <w:rPr>
                <w:rFonts w:ascii="Times New Roman" w:eastAsia="Times New Roman" w:hAnsi="Times New Roman" w:cs="Times New Roman"/>
                <w:color w:val="000000"/>
                <w:sz w:val="24"/>
                <w:szCs w:val="24"/>
                <w:lang w:eastAsia="ru-RU"/>
              </w:rPr>
              <w:t xml:space="preserve">На виконання вимог ЗУ «Про основні принципи та вимоги до безпечності та якості харчових продуктів», Наказу Мінагрополітики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w:t>
            </w:r>
            <w:r w:rsidRPr="00E17692">
              <w:rPr>
                <w:rFonts w:ascii="Times New Roman" w:eastAsia="Times New Roman" w:hAnsi="Times New Roman" w:cs="Times New Roman"/>
                <w:sz w:val="24"/>
                <w:szCs w:val="24"/>
                <w:lang w:eastAsia="ru-RU" w:bidi="gu-IN"/>
              </w:rPr>
              <w:t>Учасник повинен</w:t>
            </w:r>
            <w:r w:rsidRPr="00E17692">
              <w:rPr>
                <w:rFonts w:ascii="Times New Roman" w:eastAsia="Times New Roman" w:hAnsi="Times New Roman" w:cs="Times New Roman"/>
                <w:color w:val="000000"/>
                <w:sz w:val="24"/>
                <w:szCs w:val="24"/>
                <w:lang w:eastAsia="ru-RU"/>
              </w:rPr>
              <w:t xml:space="preserve"> надати наступні документи: </w:t>
            </w:r>
          </w:p>
          <w:p w14:paraId="2C1334C1" w14:textId="77777777" w:rsidR="00E17692" w:rsidRPr="00E17692" w:rsidRDefault="00E17692" w:rsidP="00E17692">
            <w:pPr>
              <w:tabs>
                <w:tab w:val="left" w:pos="8364"/>
              </w:tabs>
              <w:spacing w:after="0" w:line="240" w:lineRule="auto"/>
              <w:jc w:val="both"/>
              <w:rPr>
                <w:rFonts w:ascii="Times New Roman" w:eastAsia="Times New Roman" w:hAnsi="Times New Roman" w:cs="Times New Roman"/>
                <w:color w:val="000000"/>
                <w:sz w:val="24"/>
                <w:szCs w:val="24"/>
                <w:lang w:eastAsia="ru-RU"/>
              </w:rPr>
            </w:pPr>
            <w:r w:rsidRPr="00E17692">
              <w:rPr>
                <w:rFonts w:ascii="Times New Roman" w:eastAsia="Times New Roman" w:hAnsi="Times New Roman" w:cs="Times New Roman"/>
                <w:color w:val="000000"/>
                <w:sz w:val="24"/>
                <w:szCs w:val="24"/>
                <w:lang w:eastAsia="ru-RU"/>
              </w:rPr>
              <w:t xml:space="preserve">- наказ/рішення  про призначення відповідальної  особи Учасника за контролем застосування постійно діючих процедур, що базуються на принципах системи аналізу небезпечних факторів та контролю у критичних точках НАССР під час виробництва та обігу харчових продуктів;   </w:t>
            </w:r>
          </w:p>
          <w:p w14:paraId="77DBADD8" w14:textId="77777777" w:rsidR="00E17692" w:rsidRPr="00E17692" w:rsidRDefault="00E17692" w:rsidP="00E17692">
            <w:pPr>
              <w:tabs>
                <w:tab w:val="left" w:pos="8364"/>
              </w:tabs>
              <w:spacing w:after="0" w:line="240" w:lineRule="auto"/>
              <w:jc w:val="both"/>
              <w:rPr>
                <w:rFonts w:ascii="Times New Roman" w:eastAsia="Times New Roman" w:hAnsi="Times New Roman" w:cs="Times New Roman"/>
                <w:color w:val="000000"/>
                <w:sz w:val="24"/>
                <w:szCs w:val="24"/>
                <w:lang w:eastAsia="ru-RU"/>
              </w:rPr>
            </w:pPr>
            <w:r w:rsidRPr="00E17692">
              <w:rPr>
                <w:rFonts w:ascii="Times New Roman" w:eastAsia="Times New Roman" w:hAnsi="Times New Roman" w:cs="Times New Roman"/>
                <w:color w:val="000000"/>
                <w:sz w:val="24"/>
                <w:szCs w:val="24"/>
                <w:lang w:eastAsia="ru-RU"/>
              </w:rPr>
              <w:t xml:space="preserve">- документ (сертифікат, посвідчення тощо), що підтверджує забезпечення належної підготовки відповідальної особи Учасника з питань застосування постійно діючих процедур, що базуються на принципах системи аналізу небезпечних факторів та контролю у критичних точках (НАССР), </w:t>
            </w:r>
          </w:p>
          <w:p w14:paraId="41A94096" w14:textId="77777777" w:rsidR="00E17692" w:rsidRPr="00E17692" w:rsidRDefault="00E17692" w:rsidP="00E17692">
            <w:pPr>
              <w:tabs>
                <w:tab w:val="left" w:pos="8364"/>
              </w:tabs>
              <w:spacing w:after="0" w:line="240" w:lineRule="auto"/>
              <w:jc w:val="both"/>
              <w:rPr>
                <w:rFonts w:ascii="Times New Roman" w:eastAsia="Times New Roman" w:hAnsi="Times New Roman" w:cs="Times New Roman"/>
                <w:color w:val="000000"/>
                <w:sz w:val="24"/>
                <w:szCs w:val="24"/>
                <w:lang w:eastAsia="ru-RU"/>
              </w:rPr>
            </w:pPr>
            <w:r w:rsidRPr="00E17692">
              <w:rPr>
                <w:rFonts w:ascii="Times New Roman" w:eastAsia="Times New Roman" w:hAnsi="Times New Roman" w:cs="Times New Roman"/>
                <w:color w:val="000000"/>
                <w:sz w:val="24"/>
                <w:szCs w:val="24"/>
                <w:lang w:eastAsia="ru-RU"/>
              </w:rPr>
              <w:t xml:space="preserve">- </w:t>
            </w:r>
            <w:r w:rsidRPr="00E17692">
              <w:rPr>
                <w:rFonts w:ascii="Times New Roman CYR" w:eastAsia="Times New Roman" w:hAnsi="Times New Roman CYR" w:cs="Times New Roman"/>
                <w:color w:val="000000"/>
                <w:sz w:val="24"/>
                <w:szCs w:val="24"/>
                <w:lang w:eastAsia="zh-CN"/>
              </w:rPr>
              <w:t xml:space="preserve">документ, </w:t>
            </w:r>
            <w:r w:rsidRPr="00E17692">
              <w:rPr>
                <w:rFonts w:ascii="Times New Roman CYR" w:eastAsia="Times New Roman" w:hAnsi="Times New Roman CYR" w:cs="Times New Roman CYR"/>
                <w:color w:val="000000"/>
                <w:sz w:val="24"/>
                <w:szCs w:val="24"/>
                <w:lang w:eastAsia="zh-CN"/>
              </w:rPr>
              <w:t>що підтверджує проходження працівниками, які здійснюють поводження з харчовими продуктами  навчання з питань гігієни персоналу, безпеки харчових продуктів,  впровадження та застосування</w:t>
            </w:r>
            <w:r w:rsidRPr="00E17692">
              <w:rPr>
                <w:rFonts w:ascii="Times New Roman CYR" w:eastAsia="Times New Roman" w:hAnsi="Times New Roman CYR" w:cs="Times New Roman"/>
                <w:color w:val="000000"/>
                <w:sz w:val="24"/>
                <w:szCs w:val="24"/>
                <w:lang w:eastAsia="zh-CN"/>
              </w:rPr>
              <w:t xml:space="preserve"> постійно діючих процедур, що базуються на принципах системи аналізу небезпечних факторів та контролю у критичних точках (НАССР).</w:t>
            </w:r>
          </w:p>
        </w:tc>
      </w:tr>
      <w:tr w:rsidR="00E17692" w:rsidRPr="00E17692" w14:paraId="4C7CBEBC" w14:textId="77777777" w:rsidTr="005549D7">
        <w:tc>
          <w:tcPr>
            <w:tcW w:w="2552" w:type="dxa"/>
          </w:tcPr>
          <w:p w14:paraId="79E037A6" w14:textId="77777777" w:rsidR="00E17692" w:rsidRPr="00E17692" w:rsidRDefault="00E17692" w:rsidP="00E17692">
            <w:pPr>
              <w:widowControl w:val="0"/>
              <w:suppressAutoHyphens/>
              <w:autoSpaceDE w:val="0"/>
              <w:spacing w:after="0" w:line="240" w:lineRule="auto"/>
              <w:contextualSpacing/>
              <w:jc w:val="both"/>
              <w:rPr>
                <w:rFonts w:ascii="Times New Roman" w:eastAsia="Times New Roman" w:hAnsi="Times New Roman" w:cs="Times New Roman"/>
                <w:b/>
                <w:bCs/>
                <w:sz w:val="24"/>
                <w:szCs w:val="24"/>
              </w:rPr>
            </w:pPr>
            <w:r w:rsidRPr="00E17692">
              <w:rPr>
                <w:rFonts w:ascii="Times New Roman CYR" w:eastAsia="Times New Roman" w:hAnsi="Times New Roman CYR" w:cs="Times New Roman CYR"/>
                <w:b/>
                <w:bCs/>
                <w:color w:val="000000"/>
                <w:sz w:val="24"/>
                <w:szCs w:val="24"/>
                <w:shd w:val="clear" w:color="auto" w:fill="FFFFFF"/>
                <w:lang w:eastAsia="zh-CN"/>
              </w:rPr>
              <w:t xml:space="preserve">Наявність документально підтвердженого досвіду виконання аналогічного (аналогічних) за предметом закупівлі </w:t>
            </w:r>
            <w:r w:rsidRPr="00E17692">
              <w:rPr>
                <w:rFonts w:ascii="Times New Roman CYR" w:eastAsia="Times New Roman" w:hAnsi="Times New Roman CYR" w:cs="Times New Roman CYR"/>
                <w:b/>
                <w:bCs/>
                <w:color w:val="000000"/>
                <w:sz w:val="24"/>
                <w:szCs w:val="24"/>
                <w:shd w:val="clear" w:color="auto" w:fill="FFFFFF"/>
                <w:lang w:eastAsia="zh-CN"/>
              </w:rPr>
              <w:lastRenderedPageBreak/>
              <w:t>Договору (договорів)</w:t>
            </w:r>
          </w:p>
        </w:tc>
        <w:tc>
          <w:tcPr>
            <w:tcW w:w="7082" w:type="dxa"/>
          </w:tcPr>
          <w:p w14:paraId="29C3CDDF" w14:textId="77777777" w:rsidR="00E17692" w:rsidRPr="00E17692" w:rsidRDefault="00E17692" w:rsidP="00E17692">
            <w:pPr>
              <w:widowControl w:val="0"/>
              <w:tabs>
                <w:tab w:val="left" w:pos="299"/>
              </w:tabs>
              <w:suppressAutoHyphens/>
              <w:autoSpaceDE w:val="0"/>
              <w:spacing w:after="0" w:line="240" w:lineRule="auto"/>
              <w:ind w:right="22"/>
              <w:jc w:val="both"/>
              <w:rPr>
                <w:rFonts w:ascii="Times New Roman CYR" w:eastAsia="Times New Roman" w:hAnsi="Times New Roman CYR" w:cs="Times New Roman CYR"/>
                <w:sz w:val="24"/>
                <w:szCs w:val="24"/>
                <w:lang w:eastAsia="zh-CN"/>
              </w:rPr>
            </w:pPr>
            <w:r w:rsidRPr="00E17692">
              <w:rPr>
                <w:rFonts w:ascii="Times New Roman CYR" w:eastAsia="Times New Roman" w:hAnsi="Times New Roman CYR" w:cs="Times New Roman CYR"/>
                <w:sz w:val="24"/>
                <w:szCs w:val="24"/>
                <w:lang w:eastAsia="zh-CN"/>
              </w:rPr>
              <w:lastRenderedPageBreak/>
              <w:t xml:space="preserve">Учасник надає інформацію </w:t>
            </w:r>
            <w:r w:rsidRPr="00E17692">
              <w:rPr>
                <w:rFonts w:ascii="Times New Roman" w:eastAsia="Times New Roman" w:hAnsi="Times New Roman" w:cs="Times New Roman"/>
                <w:sz w:val="24"/>
                <w:szCs w:val="24"/>
                <w:lang w:eastAsia="ru-RU" w:bidi="gu-IN"/>
              </w:rPr>
              <w:t>(у довільній формі)</w:t>
            </w:r>
            <w:r w:rsidRPr="00E17692">
              <w:rPr>
                <w:rFonts w:ascii="Times New Roman CYR" w:eastAsia="Times New Roman" w:hAnsi="Times New Roman CYR" w:cs="Times New Roman CYR"/>
                <w:sz w:val="24"/>
                <w:szCs w:val="24"/>
                <w:lang w:eastAsia="zh-CN"/>
              </w:rPr>
              <w:t xml:space="preserve"> про досвід надання послуг, які є предметом закупівлі,  упродовж 2020-2021 років, що підтверджується аналогічними договорами, строк дії яких завершено або продовжується. </w:t>
            </w:r>
          </w:p>
          <w:p w14:paraId="57BDB382" w14:textId="77777777" w:rsidR="00E17692" w:rsidRPr="00E17692" w:rsidRDefault="00E17692" w:rsidP="00E17692">
            <w:pPr>
              <w:widowControl w:val="0"/>
              <w:tabs>
                <w:tab w:val="left" w:pos="299"/>
              </w:tabs>
              <w:suppressAutoHyphens/>
              <w:autoSpaceDE w:val="0"/>
              <w:spacing w:after="0" w:line="240" w:lineRule="auto"/>
              <w:ind w:right="22"/>
              <w:jc w:val="both"/>
              <w:rPr>
                <w:rFonts w:ascii="Times New Roman CYR" w:eastAsia="Times New Roman" w:hAnsi="Times New Roman CYR" w:cs="Times New Roman CYR"/>
                <w:sz w:val="24"/>
                <w:szCs w:val="24"/>
                <w:lang w:eastAsia="zh-CN"/>
              </w:rPr>
            </w:pPr>
            <w:r w:rsidRPr="00E17692">
              <w:rPr>
                <w:rFonts w:ascii="Times New Roman CYR" w:eastAsia="Times New Roman" w:hAnsi="Times New Roman CYR" w:cs="Times New Roman CYR"/>
                <w:sz w:val="24"/>
                <w:szCs w:val="24"/>
                <w:lang w:eastAsia="zh-CN"/>
              </w:rPr>
              <w:t xml:space="preserve">Документ має містити інформацію про дату та номер аналогічного договору, назву замовника, суму договору та номер оголошення про проведення публічної закупівлі, за результатами </w:t>
            </w:r>
            <w:r w:rsidRPr="00E17692">
              <w:rPr>
                <w:rFonts w:ascii="Times New Roman CYR" w:eastAsia="Times New Roman" w:hAnsi="Times New Roman CYR" w:cs="Times New Roman CYR"/>
                <w:sz w:val="24"/>
                <w:szCs w:val="24"/>
                <w:lang w:eastAsia="zh-CN"/>
              </w:rPr>
              <w:lastRenderedPageBreak/>
              <w:t>якої укладено аналогічний договір.</w:t>
            </w:r>
          </w:p>
          <w:p w14:paraId="239C77B7" w14:textId="77777777" w:rsidR="00E17692" w:rsidRPr="00E17692" w:rsidRDefault="00E17692" w:rsidP="00E17692">
            <w:pPr>
              <w:widowControl w:val="0"/>
              <w:tabs>
                <w:tab w:val="left" w:pos="5"/>
              </w:tabs>
              <w:suppressAutoHyphens/>
              <w:autoSpaceDE w:val="0"/>
              <w:spacing w:after="0" w:line="240" w:lineRule="auto"/>
              <w:ind w:right="22"/>
              <w:jc w:val="both"/>
              <w:rPr>
                <w:rFonts w:ascii="Times New Roman CYR" w:eastAsia="Times New Roman" w:hAnsi="Times New Roman CYR" w:cs="Times New Roman CYR"/>
                <w:sz w:val="24"/>
                <w:szCs w:val="24"/>
                <w:lang w:eastAsia="zh-CN"/>
              </w:rPr>
            </w:pPr>
            <w:r w:rsidRPr="00E17692">
              <w:rPr>
                <w:rFonts w:ascii="Times New Roman CYR" w:eastAsia="Times New Roman" w:hAnsi="Times New Roman CYR" w:cs="Times New Roman CYR"/>
                <w:sz w:val="24"/>
                <w:szCs w:val="24"/>
                <w:lang w:eastAsia="zh-CN"/>
              </w:rPr>
              <w:t>На підтвердження надання послуг, Учаснику необхідно надати Відгуки Замовників, які видані не раніше дати оголошення процедури закупівлі та відповідно наданих  Договорів про закупівлю.</w:t>
            </w:r>
          </w:p>
          <w:p w14:paraId="44A97A20" w14:textId="77777777" w:rsidR="00E17692" w:rsidRPr="00E17692" w:rsidRDefault="00E17692" w:rsidP="00E17692">
            <w:pPr>
              <w:widowControl w:val="0"/>
              <w:tabs>
                <w:tab w:val="left" w:pos="5"/>
              </w:tabs>
              <w:suppressAutoHyphens/>
              <w:autoSpaceDE w:val="0"/>
              <w:spacing w:after="0" w:line="240" w:lineRule="auto"/>
              <w:ind w:right="22"/>
              <w:jc w:val="both"/>
              <w:rPr>
                <w:rFonts w:ascii="Times New Roman CYR" w:eastAsia="Times New Roman" w:hAnsi="Times New Roman CYR" w:cs="Times New Roman CYR"/>
                <w:color w:val="000000"/>
                <w:sz w:val="24"/>
                <w:szCs w:val="24"/>
                <w:lang w:eastAsia="zh-CN"/>
              </w:rPr>
            </w:pPr>
            <w:r w:rsidRPr="00E17692">
              <w:rPr>
                <w:rFonts w:ascii="Times New Roman CYR" w:eastAsia="Times New Roman" w:hAnsi="Times New Roman CYR" w:cs="Times New Roman CYR"/>
                <w:color w:val="000000"/>
                <w:sz w:val="24"/>
                <w:szCs w:val="24"/>
                <w:lang w:eastAsia="zh-CN"/>
              </w:rPr>
              <w:t xml:space="preserve"> Лист – відгук повинен свідчить про належне, своєчасне та добросовісне виконання  зобов’язань Учасника  по даному Договору про закупівлю та містити інформацію про якість наданих послуг, наявність чи відсутність зауважень.</w:t>
            </w:r>
          </w:p>
          <w:p w14:paraId="34BF04E1" w14:textId="77777777" w:rsidR="00E17692" w:rsidRPr="00E17692" w:rsidRDefault="00E17692" w:rsidP="00E17692">
            <w:pPr>
              <w:widowControl w:val="0"/>
              <w:tabs>
                <w:tab w:val="left" w:pos="5"/>
              </w:tabs>
              <w:suppressAutoHyphens/>
              <w:autoSpaceDE w:val="0"/>
              <w:spacing w:after="0" w:line="240" w:lineRule="auto"/>
              <w:ind w:right="22"/>
              <w:jc w:val="both"/>
              <w:rPr>
                <w:rFonts w:ascii="Times New Roman CYR" w:eastAsia="Times New Roman" w:hAnsi="Times New Roman CYR" w:cs="Times New Roman CYR"/>
                <w:sz w:val="24"/>
                <w:szCs w:val="24"/>
                <w:lang w:eastAsia="zh-CN"/>
              </w:rPr>
            </w:pPr>
            <w:r w:rsidRPr="00E17692">
              <w:rPr>
                <w:rFonts w:ascii="Times New Roman" w:eastAsia="Times New Roman" w:hAnsi="Times New Roman" w:cs="Times New Roman"/>
                <w:sz w:val="24"/>
                <w:szCs w:val="24"/>
                <w:lang w:eastAsia="zh-CN"/>
              </w:rPr>
              <w:t>Разом з довідкою Учасник надає копії аналогічних договорів.</w:t>
            </w:r>
          </w:p>
          <w:p w14:paraId="1F2AEAC1" w14:textId="77777777" w:rsidR="00E17692" w:rsidRPr="00E17692" w:rsidRDefault="00E17692" w:rsidP="00E17692">
            <w:pPr>
              <w:widowControl w:val="0"/>
              <w:tabs>
                <w:tab w:val="left" w:pos="5"/>
              </w:tabs>
              <w:suppressAutoHyphens/>
              <w:autoSpaceDE w:val="0"/>
              <w:spacing w:after="0" w:line="240" w:lineRule="auto"/>
              <w:ind w:right="22"/>
              <w:jc w:val="both"/>
              <w:rPr>
                <w:rFonts w:ascii="Times New Roman CYR" w:eastAsia="Times New Roman" w:hAnsi="Times New Roman CYR" w:cs="Times New Roman CYR"/>
                <w:sz w:val="24"/>
                <w:szCs w:val="24"/>
                <w:lang w:eastAsia="zh-CN"/>
              </w:rPr>
            </w:pPr>
            <w:r w:rsidRPr="00E17692">
              <w:rPr>
                <w:rFonts w:ascii="Times New Roman CYR" w:eastAsia="Times New Roman" w:hAnsi="Times New Roman CYR" w:cs="Times New Roman"/>
                <w:sz w:val="24"/>
                <w:szCs w:val="24"/>
                <w:lang w:eastAsia="zh-CN"/>
              </w:rPr>
              <w:t xml:space="preserve"> Аналогічними договорами у розумінні цієї Тендерної документації є Договори по наданню послуг аналогічних до предмету закупівлі - надання </w:t>
            </w:r>
            <w:proofErr w:type="spellStart"/>
            <w:r w:rsidRPr="00E17692">
              <w:rPr>
                <w:rFonts w:ascii="Times New Roman CYR" w:eastAsia="Times New Roman" w:hAnsi="Times New Roman CYR" w:cs="Times New Roman"/>
                <w:sz w:val="24"/>
                <w:szCs w:val="24"/>
                <w:lang w:eastAsia="zh-CN"/>
              </w:rPr>
              <w:t>кейтерингових</w:t>
            </w:r>
            <w:proofErr w:type="spellEnd"/>
            <w:r w:rsidRPr="00E17692">
              <w:rPr>
                <w:rFonts w:ascii="Times New Roman CYR" w:eastAsia="Times New Roman" w:hAnsi="Times New Roman CYR" w:cs="Times New Roman"/>
                <w:sz w:val="24"/>
                <w:szCs w:val="24"/>
                <w:lang w:eastAsia="zh-CN"/>
              </w:rPr>
              <w:t xml:space="preserve"> послуг/послуг з організації гарячого харчування вихованців, учнів у дошкільних та/або закладах загальної середньої освіти за 2020, 2021 роки (виконаного або частково виконаного), у кількості - не менше двох.  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r w:rsidRPr="00E17692">
              <w:rPr>
                <w:rFonts w:ascii="Times New Roman CYR" w:eastAsia="Times New Roman" w:hAnsi="Times New Roman CYR" w:cs="Times New Roman CYR"/>
                <w:sz w:val="24"/>
                <w:szCs w:val="24"/>
                <w:lang w:eastAsia="zh-CN"/>
              </w:rPr>
              <w:t>.</w:t>
            </w:r>
          </w:p>
        </w:tc>
      </w:tr>
    </w:tbl>
    <w:p w14:paraId="68AE1D38" w14:textId="77777777" w:rsidR="00E17692" w:rsidRPr="00E17692" w:rsidRDefault="00E17692" w:rsidP="00E17692">
      <w:pPr>
        <w:widowControl w:val="0"/>
        <w:suppressAutoHyphens/>
        <w:autoSpaceDE w:val="0"/>
        <w:spacing w:after="0" w:line="240" w:lineRule="auto"/>
        <w:ind w:left="720"/>
        <w:contextualSpacing/>
        <w:jc w:val="both"/>
        <w:rPr>
          <w:rFonts w:ascii="Times New Roman" w:eastAsia="Times New Roman" w:hAnsi="Times New Roman" w:cs="Times New Roman"/>
          <w:sz w:val="24"/>
          <w:szCs w:val="24"/>
        </w:rPr>
      </w:pPr>
    </w:p>
    <w:p w14:paraId="7AA3CEE6" w14:textId="77777777" w:rsidR="00E17692" w:rsidRPr="00E17692" w:rsidRDefault="00E17692" w:rsidP="00E17692">
      <w:pPr>
        <w:shd w:val="clear" w:color="auto" w:fill="FFFFFF"/>
        <w:spacing w:after="0" w:line="240" w:lineRule="auto"/>
        <w:jc w:val="both"/>
        <w:rPr>
          <w:rFonts w:ascii="Times New Roman" w:eastAsia="Times New Roman" w:hAnsi="Times New Roman" w:cs="Times New Roman"/>
          <w:iCs/>
          <w:lang w:eastAsia="ru-RU"/>
        </w:rPr>
      </w:pPr>
      <w:r w:rsidRPr="00E17692">
        <w:rPr>
          <w:rFonts w:ascii="Times New Roman CYR" w:eastAsia="Times New Roman" w:hAnsi="Times New Roman CYR" w:cs="Times New Roman CYR"/>
          <w:iCs/>
          <w:shd w:val="clear" w:color="auto" w:fill="FFFFFF"/>
          <w:lang w:eastAsia="zh-CN"/>
        </w:rPr>
        <w:t xml:space="preserve">   *У разі участі у закупівлі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Кожен з учасників об’єднання учасників повинен підтвердити у спосіб, визначений цією тендерною документацією, свою відповідність встановленим кваліфікаційним критеріям. Невідповідність одного з учасників об’єднання учасників встановленим кваліфікаційним критеріям має наслідком відхилення тендерної пропозиції об’єднання учасників з підстав, визначених Законом.</w:t>
      </w:r>
    </w:p>
    <w:p w14:paraId="79453A6C"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iCs/>
          <w:sz w:val="24"/>
          <w:szCs w:val="24"/>
          <w:lang w:eastAsia="ru-RU"/>
        </w:rPr>
      </w:pPr>
    </w:p>
    <w:p w14:paraId="6FDF3E96"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6270FC59"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238DC5EA"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10EE64D9"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249F8D35"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17F902D2"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46EE0097"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33997394"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20F3BCA0"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41980105"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7F6BEDCF"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6A8F2BF6"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11966FAF"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534754F4" w14:textId="77777777" w:rsidR="00E17692" w:rsidRPr="00E17692" w:rsidRDefault="00E17692" w:rsidP="00E17692">
      <w:pPr>
        <w:shd w:val="clear" w:color="auto" w:fill="FFFFFF"/>
        <w:spacing w:after="0" w:line="240" w:lineRule="auto"/>
        <w:ind w:left="1140"/>
        <w:jc w:val="both"/>
        <w:rPr>
          <w:rFonts w:ascii="Times New Roman" w:eastAsia="Times New Roman" w:hAnsi="Times New Roman" w:cs="Times New Roman"/>
          <w:sz w:val="24"/>
          <w:szCs w:val="24"/>
          <w:lang w:eastAsia="ru-RU"/>
        </w:rPr>
      </w:pPr>
    </w:p>
    <w:p w14:paraId="7293004F" w14:textId="77777777" w:rsidR="00E17692" w:rsidRPr="00E17692" w:rsidRDefault="00E17692" w:rsidP="00E17692">
      <w:pPr>
        <w:spacing w:after="0" w:line="240" w:lineRule="auto"/>
        <w:jc w:val="both"/>
        <w:rPr>
          <w:rFonts w:ascii="Times New Roman" w:eastAsia="Times New Roman" w:hAnsi="Times New Roman" w:cs="Times New Roman"/>
          <w:sz w:val="24"/>
          <w:szCs w:val="24"/>
          <w:lang w:eastAsia="ru-RU"/>
        </w:rPr>
      </w:pPr>
    </w:p>
    <w:p w14:paraId="0C7FD794" w14:textId="77777777" w:rsidR="00E17692" w:rsidRPr="00E17692" w:rsidRDefault="00E17692" w:rsidP="00E17692">
      <w:pPr>
        <w:spacing w:after="0" w:line="240" w:lineRule="auto"/>
        <w:jc w:val="both"/>
        <w:rPr>
          <w:rFonts w:ascii="Times New Roman" w:eastAsia="Times New Roman" w:hAnsi="Times New Roman" w:cs="Times New Roman"/>
          <w:b/>
          <w:sz w:val="24"/>
          <w:szCs w:val="24"/>
          <w:lang w:eastAsia="ru-RU"/>
        </w:rPr>
      </w:pPr>
    </w:p>
    <w:p w14:paraId="1F7E0C6E" w14:textId="77777777" w:rsidR="00E17692" w:rsidRPr="00E17692" w:rsidRDefault="00E17692" w:rsidP="00E17692">
      <w:pPr>
        <w:spacing w:after="0" w:line="240" w:lineRule="auto"/>
        <w:ind w:left="5660" w:firstLine="700"/>
        <w:jc w:val="both"/>
        <w:rPr>
          <w:rFonts w:ascii="Times New Roman" w:eastAsia="Times New Roman" w:hAnsi="Times New Roman" w:cs="Times New Roman"/>
          <w:b/>
          <w:sz w:val="24"/>
          <w:szCs w:val="24"/>
          <w:lang w:eastAsia="ru-RU"/>
        </w:rPr>
      </w:pPr>
    </w:p>
    <w:p w14:paraId="41AF8C43" w14:textId="77777777" w:rsidR="00E17692" w:rsidRPr="00E17692" w:rsidRDefault="00E17692" w:rsidP="00E17692">
      <w:pPr>
        <w:spacing w:after="0" w:line="240" w:lineRule="auto"/>
        <w:jc w:val="both"/>
        <w:rPr>
          <w:rFonts w:ascii="Times New Roman" w:eastAsia="Times New Roman" w:hAnsi="Times New Roman" w:cs="Times New Roman"/>
          <w:b/>
          <w:sz w:val="24"/>
          <w:szCs w:val="24"/>
          <w:lang w:eastAsia="ru-RU"/>
        </w:rPr>
      </w:pPr>
    </w:p>
    <w:p w14:paraId="06A4B7F1" w14:textId="77777777" w:rsidR="00D72E12" w:rsidRDefault="00D72E12"/>
    <w:sectPr w:rsidR="00D72E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92"/>
    <w:rsid w:val="00364D3E"/>
    <w:rsid w:val="00D72E12"/>
    <w:rsid w:val="00E176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E705"/>
  <w15:docId w15:val="{C9EF3EE5-B289-474A-9C10-A06B5740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5015</Words>
  <Characters>2860</Characters>
  <Application>Microsoft Office Word</Application>
  <DocSecurity>0</DocSecurity>
  <Lines>23</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2022-08-11T13:09:00Z</dcterms:created>
  <dcterms:modified xsi:type="dcterms:W3CDTF">2022-08-11T13:09:00Z</dcterms:modified>
</cp:coreProperties>
</file>