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B" w:rsidRDefault="00D43B6F" w:rsidP="00B3564E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F7108B" w:rsidRPr="008B2EF4" w:rsidRDefault="00F710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08B" w:rsidRPr="008B2EF4" w:rsidRDefault="00D43B6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7108B" w:rsidRPr="008B2EF4" w:rsidRDefault="00D43B6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7108B" w:rsidRPr="008B2EF4" w:rsidRDefault="00D43B6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7108B" w:rsidRPr="008B2EF4" w:rsidRDefault="00D43B6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7108B" w:rsidRPr="008B2EF4" w:rsidRDefault="00F7108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7108B" w:rsidRPr="008B2EF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08B" w:rsidRPr="008B2EF4" w:rsidRDefault="00D43B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08B" w:rsidRPr="008B2EF4" w:rsidRDefault="00D43B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08B" w:rsidRPr="008B2EF4" w:rsidRDefault="00D43B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F7108B" w:rsidRPr="008B2EF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B3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4A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43B6F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gramStart"/>
            <w:r w:rsidR="00D43B6F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43B6F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F72E03" w:rsidRPr="00084BDC" w:rsidRDefault="00F72E03" w:rsidP="00F72E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Аналогічним вважається догові</w:t>
            </w:r>
            <w:proofErr w:type="gramStart"/>
            <w:r w:rsidRPr="0008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8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поточного ремонту</w:t>
            </w:r>
            <w:r w:rsidRPr="0008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споруд, будівель, приміщень.                                                                                       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  <w:r w:rsidR="004A5A5D" w:rsidRPr="008B2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Додато</w:t>
            </w:r>
            <w:proofErr w:type="gramStart"/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к(</w:t>
            </w:r>
            <w:proofErr w:type="gramEnd"/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-и) до договору вважаються наданими в достатній кількості, якщо вони містять інформацію про аналогічні </w:t>
            </w:r>
            <w:r w:rsidR="004A5A5D" w:rsidRPr="008B2EF4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послуги, які надавалися за договором</w:t>
            </w:r>
          </w:p>
          <w:p w:rsidR="00B3564E" w:rsidRPr="008B2EF4" w:rsidRDefault="00D43B6F" w:rsidP="004A5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 копії/ю документів/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</w:t>
            </w:r>
            <w:r w:rsidR="004A5A5D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копії видаткових накладних або актів, які підтверджують виконання наданого договору</w:t>
            </w:r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7D574B" w:rsidRPr="008B2EF4" w:rsidRDefault="007D574B" w:rsidP="004A5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574B" w:rsidRPr="008B2EF4" w:rsidRDefault="007D574B" w:rsidP="000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108B" w:rsidRPr="008B2EF4" w:rsidRDefault="00D43B6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разі участі об’єднання учасників </w:t>
      </w:r>
      <w:proofErr w:type="gramStart"/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757A8" w:rsidRPr="008B2EF4" w:rsidRDefault="003757A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3757A8" w:rsidRPr="008B2EF4" w:rsidRDefault="003757A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абзацу шістнадцятого пункту 44 Особливостей.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У разі коли учасник процедури закупівлі має намір залучити інших суб’єктів г</w:t>
      </w:r>
      <w:r w:rsidR="00B6183F" w:rsidRPr="008B2EF4">
        <w:rPr>
          <w:rFonts w:ascii="Times New Roman" w:eastAsia="Times New Roman" w:hAnsi="Times New Roman" w:cs="Times New Roman"/>
          <w:sz w:val="24"/>
          <w:szCs w:val="24"/>
        </w:rPr>
        <w:t xml:space="preserve">осподарювання як 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співвиконавців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</w:t>
      </w:r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на відсутність підстав, визначених цим пунктом.</w:t>
      </w:r>
    </w:p>
    <w:p w:rsidR="00F7108B" w:rsidRPr="008B2EF4" w:rsidRDefault="00F71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i/>
          <w:sz w:val="24"/>
          <w:szCs w:val="24"/>
        </w:rPr>
        <w:t>УВАГА!</w:t>
      </w:r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 Якщо при здійсненні самостійного декларування відсутності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F7108B" w:rsidRPr="008B2EF4" w:rsidRDefault="00D43B6F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Крім того, якщо при здійсненні самостійного декларування відсутності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F7108B" w:rsidRPr="008B2EF4" w:rsidRDefault="00F7108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shd w:val="clear" w:color="auto" w:fill="FBFBFB"/>
        </w:rPr>
      </w:pPr>
    </w:p>
    <w:p w:rsidR="00F7108B" w:rsidRPr="008B2EF4" w:rsidRDefault="00D4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пункті 44 Особливостей:</w:t>
      </w:r>
    </w:p>
    <w:p w:rsidR="003757A8" w:rsidRPr="008B2EF4" w:rsidRDefault="003757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7108B" w:rsidRPr="008B2EF4" w:rsidRDefault="00D43B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7108B" w:rsidRPr="008B2EF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п. 44 Особливостей</w:t>
            </w:r>
          </w:p>
          <w:p w:rsidR="00F7108B" w:rsidRPr="008B2EF4" w:rsidRDefault="00F710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п. 44 Особливостей 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F7108B" w:rsidRPr="008B2EF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F7108B" w:rsidRPr="008B2EF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7108B" w:rsidRPr="008B2EF4" w:rsidRDefault="00D43B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</w:t>
            </w:r>
          </w:p>
          <w:p w:rsidR="00F7108B" w:rsidRPr="008B2EF4" w:rsidRDefault="00F7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108B" w:rsidRPr="008B2EF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F7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08B" w:rsidRPr="008B2EF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08B" w:rsidRPr="008B2EF4" w:rsidRDefault="00D43B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7108B" w:rsidRPr="008B2EF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</w:p>
          <w:p w:rsidR="00F7108B" w:rsidRPr="008B2EF4" w:rsidRDefault="00F710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F7108B" w:rsidRPr="008B2EF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F7108B" w:rsidRPr="008B2EF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7108B" w:rsidRPr="008B2EF4" w:rsidRDefault="00F7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108B" w:rsidRPr="008B2EF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F7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08B" w:rsidRPr="008B2EF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8B" w:rsidRPr="008B2EF4" w:rsidRDefault="00F7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p w:rsidR="003757A8" w:rsidRPr="008B2EF4" w:rsidRDefault="003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703" w:type="dxa"/>
        <w:tblInd w:w="-100" w:type="dxa"/>
        <w:tblLayout w:type="fixed"/>
        <w:tblLook w:val="0400"/>
      </w:tblPr>
      <w:tblGrid>
        <w:gridCol w:w="484"/>
        <w:gridCol w:w="9219"/>
      </w:tblGrid>
      <w:tr w:rsidR="00F7108B" w:rsidRPr="008B2EF4" w:rsidTr="00530336">
        <w:trPr>
          <w:trHeight w:val="124"/>
        </w:trPr>
        <w:tc>
          <w:tcPr>
            <w:tcW w:w="9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F72E03" w:rsidRPr="008B2EF4" w:rsidTr="00BC04BB">
        <w:trPr>
          <w:trHeight w:val="77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E03" w:rsidRPr="00F72E03" w:rsidRDefault="00F72E0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E03" w:rsidRPr="00F72E03" w:rsidRDefault="00F72E03" w:rsidP="008F3CA1">
            <w:pPr>
              <w:pStyle w:val="af5"/>
              <w:shd w:val="clear" w:color="auto" w:fill="FFFFFF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2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</w:t>
            </w:r>
            <w:r w:rsidRPr="00F72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 (копія виписки з протоколу засновників, наказ про призначення керівника, довіреність, доручення або інший документ, що підтверджує повноваження посадової особи Учасника)</w:t>
            </w:r>
          </w:p>
        </w:tc>
      </w:tr>
      <w:tr w:rsidR="00F72E03" w:rsidRPr="008B2EF4" w:rsidTr="00BC04BB">
        <w:trPr>
          <w:trHeight w:val="77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E03" w:rsidRPr="00F72E03" w:rsidRDefault="00F72E0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E03" w:rsidRPr="00F72E03" w:rsidRDefault="00F72E03" w:rsidP="008F3CA1">
            <w:pPr>
              <w:pStyle w:val="af5"/>
              <w:shd w:val="clear" w:color="auto" w:fill="FFFFFF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</w:t>
            </w:r>
            <w:r w:rsidRPr="00F72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опія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      </w:r>
          </w:p>
        </w:tc>
      </w:tr>
      <w:tr w:rsidR="00F7108B" w:rsidRPr="008B2EF4" w:rsidTr="00BC04BB">
        <w:trPr>
          <w:trHeight w:val="163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F72E03" w:rsidRDefault="00F72E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F72E03" w:rsidRDefault="008643CD" w:rsidP="00BC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E0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F72E03">
              <w:rPr>
                <w:rFonts w:ascii="Times New Roman" w:hAnsi="Times New Roman" w:cs="Times New Roman"/>
                <w:sz w:val="24"/>
                <w:szCs w:val="24"/>
              </w:rPr>
              <w:t xml:space="preserve">і, якщо учасником є фізична особа-підприємець (далі - уповноважена особа) – надати скан-копію паспорта, сторінки 1 – 6 та місце проживання (сторінки 5-6 надаються у разі наявності інформації / фото), у випадку якщо такий паспорт оформлено у вигляді книжки; або двосторонню скан-копію паспорта громадянина України у випадку, якщо такий паспорт оформлено у формі картки, що </w:t>
            </w:r>
            <w:proofErr w:type="gramStart"/>
            <w:r w:rsidRPr="00F72E03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gramEnd"/>
            <w:r w:rsidRPr="00F72E03">
              <w:rPr>
                <w:rFonts w:ascii="Times New Roman" w:hAnsi="Times New Roman" w:cs="Times New Roman"/>
                <w:sz w:val="24"/>
                <w:szCs w:val="24"/>
              </w:rPr>
              <w:t xml:space="preserve"> безконтактний електронний носій, або скан-копію іншого документа, який посвідчує особу, передбаченого чинним законодавством України. </w:t>
            </w:r>
          </w:p>
        </w:tc>
      </w:tr>
      <w:tr w:rsidR="00BC04BB" w:rsidRPr="008B2EF4" w:rsidTr="00BC04BB">
        <w:trPr>
          <w:trHeight w:val="75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F72E03" w:rsidRDefault="00F72E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F72E03" w:rsidRDefault="00BC04BB" w:rsidP="00974F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2E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Копія Статуту в останній (діючої) редакції або іншого установчого документу (</w:t>
            </w:r>
            <w:r w:rsidRPr="00F72E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вимога встановлюється до Учасників торгів - юридичних осіб</w:t>
            </w:r>
            <w:r w:rsidRPr="00F72E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72E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 разі якщо Учасник здійснює діяльність на підставі модельного статуту, надається копія рішення засновників про створення такої юридичної особи.</w:t>
            </w:r>
          </w:p>
        </w:tc>
      </w:tr>
      <w:tr w:rsidR="00BC04BB" w:rsidRPr="008B2EF4" w:rsidTr="00BC04BB">
        <w:trPr>
          <w:trHeight w:val="34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F72E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F72E03" w:rsidRDefault="00BC04BB" w:rsidP="00523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Гарантійні зобов’язання: 5 років з моменту закінчення робіт з </w:t>
            </w:r>
            <w:proofErr w:type="gramStart"/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поточного</w:t>
            </w:r>
            <w:proofErr w:type="gramEnd"/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ремонту об’єкту</w:t>
            </w:r>
          </w:p>
        </w:tc>
      </w:tr>
      <w:tr w:rsidR="00BC04BB" w:rsidRPr="008B2EF4" w:rsidTr="00BC04BB">
        <w:trPr>
          <w:trHeight w:val="499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F72E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F72E03" w:rsidRDefault="00BC04BB" w:rsidP="00E825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Гарантійний лист про забезпечення вивозу будівельного сміття не </w:t>
            </w:r>
            <w:proofErr w:type="gramStart"/>
            <w:r w:rsidRPr="00F72E0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F72E0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ізніше 3-х днів після закінчення робіт.</w:t>
            </w:r>
          </w:p>
        </w:tc>
      </w:tr>
      <w:tr w:rsidR="00BC04BB" w:rsidRPr="008B2EF4" w:rsidTr="00530336">
        <w:trPr>
          <w:trHeight w:val="2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F72E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F72E03" w:rsidRDefault="00BC04BB" w:rsidP="008643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яка містить інформацію про учасника закупі</w:t>
            </w:r>
            <w:proofErr w:type="gramStart"/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а саме: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найменування;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адреса;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або фактична адреса;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 </w:t>
            </w:r>
            <w:proofErr w:type="gramStart"/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ідприємства (або ІПН ФОП);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 (поточний рахунок, назва банку, в якому відкритий рахунок та МФО);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Тел./факс;</w:t>
            </w:r>
          </w:p>
          <w:p w:rsidR="00BC04BB" w:rsidRPr="00F72E03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E-mail;</w:t>
            </w:r>
          </w:p>
          <w:p w:rsidR="00BC04BB" w:rsidRPr="00F72E03" w:rsidRDefault="00BC04BB" w:rsidP="008643CD">
            <w:pPr>
              <w:pStyle w:val="TableParagraph"/>
              <w:shd w:val="clear" w:color="auto" w:fill="FFFFFF"/>
              <w:ind w:right="139"/>
              <w:rPr>
                <w:bCs/>
                <w:color w:val="00000A"/>
                <w:sz w:val="24"/>
                <w:szCs w:val="24"/>
                <w:lang w:eastAsia="zh-CN" w:bidi="hi-IN"/>
              </w:rPr>
            </w:pPr>
            <w:r w:rsidRPr="00F72E03">
              <w:rPr>
                <w:color w:val="000000"/>
                <w:sz w:val="24"/>
                <w:szCs w:val="24"/>
              </w:rPr>
              <w:t>Посада керівника підприємством та П.І.Б. (для ФОП зазначається П.І.Б).</w:t>
            </w:r>
          </w:p>
        </w:tc>
      </w:tr>
      <w:tr w:rsidR="00BC04BB" w:rsidRPr="00F72E03" w:rsidTr="00530336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97" w:rsidRPr="00F72E03" w:rsidRDefault="002A3897" w:rsidP="002A3897">
            <w:pPr>
              <w:spacing w:after="0" w:line="240" w:lineRule="auto"/>
              <w:ind w:right="6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або будь-який інший документ датою видачі не раніше дати оголошення закупівлі, що містить повну інформацію про кінцевих бенефіціарів учасника, у тому числі якщо засновником учасника є інша юридична особа.</w:t>
            </w:r>
          </w:p>
          <w:p w:rsidR="002A3897" w:rsidRPr="00F72E03" w:rsidRDefault="002A3897" w:rsidP="00BC04BB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897" w:rsidRPr="00F72E03" w:rsidTr="00530336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97" w:rsidRPr="008B2EF4" w:rsidRDefault="002A389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97" w:rsidRPr="00F72E03" w:rsidRDefault="008B2EF4" w:rsidP="00444EF5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72E03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>Лист-згоду згідно Додатку 6 до цієї тендерної д</w:t>
            </w:r>
            <w:r w:rsidR="00C970B8" w:rsidRPr="00F72E03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окументації 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,  щодо надання згоди уповноваженою особою, яка підписуватиме договір, на оброблення персональних даних, відповідно до Закону України «Про захист персональних даних», у т.ч. збирання, зберігання і поширення, включаючи оприлюднення на веб-порталі Уповноваженого органу «Прозорро» – 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prozorro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>.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gov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>.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ua</w:t>
            </w:r>
            <w:r w:rsidR="002A3897" w:rsidRPr="00F72E03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. </w:t>
            </w:r>
          </w:p>
        </w:tc>
      </w:tr>
    </w:tbl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57A8" w:rsidRDefault="003757A8" w:rsidP="0037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1" w:name="_heading=h.gjdgxs" w:colFirst="0" w:colLast="0"/>
      <w:bookmarkEnd w:id="1"/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5. Вимоги до оформлення 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 тендерної пропозиції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у вигляді банківської гарантії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57A8" w:rsidRPr="00F72E03" w:rsidRDefault="00F72E03" w:rsidP="00F72E0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E0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Особливостей, що затверджені постановою Уряду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-</w:t>
      </w:r>
      <w:r w:rsidRPr="00F72E0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ня“.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</w:t>
      </w:r>
      <w:r w:rsidRPr="00F72E0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Відповідно до пункту 44 Особливостей переможець процедури закупівлі у строк, що не перевищує чотирьох днів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F72E03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</w:p>
    <w:p w:rsidR="003757A8" w:rsidRPr="008B2EF4" w:rsidRDefault="003757A8" w:rsidP="003757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Інструкція щодо заповнення гарантії: 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гарантії потрібно зазначити дані в місцях з нижнім </w:t>
      </w:r>
      <w:proofErr w:type="gramStart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ідкресленням;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замінити слова курсивом </w:t>
      </w:r>
      <w:proofErr w:type="gramStart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відповідні дані;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Наказ Міністерства розвитку економіки, 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торгі</w:t>
      </w:r>
      <w:proofErr w:type="gramStart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і та сільського господарства України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 грудня 2020 року N 2628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забезпечення тендерної пропозиції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9"/>
      </w:tblGrid>
      <w:tr w:rsidR="003757A8" w:rsidRPr="008B2EF4" w:rsidTr="0015070A">
        <w:tc>
          <w:tcPr>
            <w:tcW w:w="9629" w:type="dxa"/>
          </w:tcPr>
          <w:p w:rsidR="003757A8" w:rsidRPr="008B2EF4" w:rsidRDefault="003757A8" w:rsidP="0015070A">
            <w:pPr>
              <w:shd w:val="clear" w:color="auto" w:fill="FFFFFF"/>
              <w:ind w:left="316"/>
              <w:rPr>
                <w:rFonts w:ascii="inherit" w:eastAsia="inherit" w:hAnsi="inherit" w:cs="inherit"/>
                <w:b/>
                <w:color w:val="293A55"/>
                <w:sz w:val="24"/>
                <w:szCs w:val="24"/>
              </w:rPr>
            </w:pPr>
          </w:p>
          <w:tbl>
            <w:tblPr>
              <w:tblW w:w="9413" w:type="dxa"/>
              <w:jc w:val="center"/>
              <w:tblLayout w:type="fixed"/>
              <w:tblLook w:val="0400"/>
            </w:tblPr>
            <w:tblGrid>
              <w:gridCol w:w="9413"/>
            </w:tblGrid>
            <w:tr w:rsidR="003757A8" w:rsidRPr="008B2EF4" w:rsidTr="0015070A">
              <w:trPr>
                <w:jc w:val="center"/>
              </w:trPr>
              <w:tc>
                <w:tcPr>
                  <w:tcW w:w="94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_heading=h.3znysh7" w:colFirst="0" w:colLast="0"/>
                  <w:bookmarkEnd w:id="2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___________________ </w:t>
                  </w:r>
                  <w:r w:rsidRPr="008B2E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ГАРАНТІЯ N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________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  (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 в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разі необхідності)</w:t>
                  </w:r>
                </w:p>
              </w:tc>
            </w:tr>
            <w:tr w:rsidR="003757A8" w:rsidRPr="008B2EF4" w:rsidTr="0015070A">
              <w:trPr>
                <w:jc w:val="center"/>
              </w:trPr>
              <w:tc>
                <w:tcPr>
                  <w:tcW w:w="94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Реквізити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видачі 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 складання 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Повне найменування гаранта__________________________________________________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Повне найменування принципала______________________________________________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Найменування бенефіціара____________________________________________________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Сума гарантії _______________________________________________________________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Назва валюти,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якій надається гарантія 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початку строку дії гарантії (набрання чинності) 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закінчення строку дії гарантії, якщо жодна з подій, передбачених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пункті 4 форми, не настане____________________________________________________________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оголошення про проведення конкурентної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Інформація щодо тендерної документації________________________________________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Відомості про догові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відповідно до якого видається гарантія банком, страховою організацією, фінансовою установою (у разі наявності)____________________________***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Ця гарантія застосовується для цілей забезпечення тендерної пропозиції учасника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 відповідно до </w:t>
                  </w:r>
                  <w:hyperlink r:id="rId6">
                    <w:r w:rsidRPr="008B2E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Закону України "Про публічні закупівлі"</w:t>
                    </w:r>
                  </w:hyperlink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(далі - Закон).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За цією гарантією гарант безвідклично зобов'язаний сплатити бенефіціару суму гарантії протягом 5 робочих  днів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дня отримання гарантом письмової вимоги бенефіціара про сплату суми гарантії (далі - вимога).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Вимога надається бенефіціаром на поштову адресу гаранта та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повинна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бути отримана ним протягом строку дії гарантії.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Вимога може бути передана через банк бенефіціара, який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Вимога повинна супроводжуватися копіями документів, засвідчених бенефіціаром та скріплених печаткою бенефіціара (у разі наявності), що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ідтверджують повноваження особи (осіб), що підписала(и) вимогу.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Вимога повинна містити посилання на дату складання/видачі і номер цієї гарантії, а також посилання на одну з таких умов (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ідстав), що підтверджують невиконання принципалом своїх зобов'язань, передбачених його тендерною пропозицією: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відкликання тендерної пропозиції принципалом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непідписання принципалом, який став переможцем тендеру, договору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закупівлю;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ненадання принципалом, який став переможцем тендеру, забезпечення виконання договору про закупівлю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отримання повідомлення про намір укласти договір про закупівлю, якщо надання такого забезпечення передбачено тендерною документацією;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ненадання принципалом, який став переможцем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 (крім переговорної процедури закупівлі), у строк, визначений </w:t>
                  </w:r>
                  <w:hyperlink r:id="rId7">
                    <w:r w:rsidRPr="008B2E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частиною шостою статті 17 Закону</w:t>
                    </w:r>
                  </w:hyperlink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документів, що підтверджують відсутність підстав, установлених </w:t>
                  </w:r>
                  <w:hyperlink r:id="rId8">
                    <w:r w:rsidRPr="008B2E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статтею 17 Закону</w:t>
                    </w:r>
                  </w:hyperlink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сплата бенефіціару суми гарантії;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отримання гарантом письмової заяви бенефіціара про звільнення гаранта від зобов'язань за цією гарантією;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отримання гарантом повідомлення принципала про настання однієї з обставин, що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ідтверджується відповідною інформацією, розміщеною на вебпорталі Уповноваженого органу, а саме: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укладення договору про закупівлю з учасником, який став переможцем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 (крім переговорної процедури закупівлі);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закінчення тендеру в разі неукладення договору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закупівлю з жодним з учасників, які подали тендерні пропозиції.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У разі дострокового звільнення гаранта від зобов'язань за цією гарантією заява бенефіціара про звільнення гаранта від зобов'язань за цією гарантією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повинна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бути складена в один з таких способів: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паперовому носії,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формі електронного документа,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Зміни до цієї гарантії можуть бути внесені в установленому законодавством порядку,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чого вони стають невід'ємною частиною цієї гарантії.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Ця гарантія надається виключно бенефіціару і не може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бути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передана або переуступлена будь-кому.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Відносини за цією гарантією регулюються законодавством України.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Зобов'язання та відповідальність гаранта перед бенефіціаром обмежуються сумою гарантії.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Цю гарантію надано в формі електронного документа та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електронній формі).</w:t>
                  </w:r>
                  <w:proofErr w:type="gramEnd"/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**Уповноважен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ні) особа(и) (у разі складання гарантії на паперовому носії)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  </w:t>
                  </w:r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(посада, підпис, прізвище, ім'я, по батькові (за наявності) та печатка (у разі наявності)) 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Уповноважен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ні) особа(и) (у разі надання в електронній формі)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(посада,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p w:rsidR="003757A8" w:rsidRPr="008B2EF4" w:rsidRDefault="003757A8" w:rsidP="0015070A">
            <w:pPr>
              <w:shd w:val="clear" w:color="auto" w:fill="FFFFFF"/>
              <w:ind w:left="316"/>
              <w:rPr>
                <w:rFonts w:ascii="IBM Plex Serif" w:eastAsia="IBM Plex Serif" w:hAnsi="IBM Plex Serif" w:cs="IBM Plex Serif"/>
                <w:color w:val="293A55"/>
                <w:sz w:val="24"/>
                <w:szCs w:val="24"/>
              </w:rPr>
            </w:pPr>
            <w:r w:rsidRPr="008B2EF4">
              <w:rPr>
                <w:rFonts w:ascii="IBM Plex Serif" w:eastAsia="IBM Plex Serif" w:hAnsi="IBM Plex Serif" w:cs="IBM Plex Serif"/>
                <w:color w:val="293A55"/>
                <w:sz w:val="24"/>
                <w:szCs w:val="24"/>
              </w:rPr>
              <w:lastRenderedPageBreak/>
              <w:t> </w:t>
            </w:r>
          </w:p>
        </w:tc>
      </w:tr>
    </w:tbl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eading=h.2et92p0" w:colFirst="0" w:colLast="0"/>
      <w:bookmarkEnd w:id="3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**даний пункт виконується у випадку встановлення вимоги щодо надання гарантії на паперовому носії;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heading=h.tyjcwt" w:colFirst="0" w:colLast="0"/>
      <w:bookmarkEnd w:id="4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***у випадку відсутності договору, зазначається «відсутній» або ставиться прочерк або залишається поле пустим.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7108B" w:rsidRPr="008B2EF4" w:rsidSect="00F7108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BM Plex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65"/>
    <w:multiLevelType w:val="hybridMultilevel"/>
    <w:tmpl w:val="18E20D14"/>
    <w:lvl w:ilvl="0" w:tplc="239EBD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E5D11"/>
    <w:multiLevelType w:val="multilevel"/>
    <w:tmpl w:val="290AB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5AF49E3"/>
    <w:multiLevelType w:val="multilevel"/>
    <w:tmpl w:val="A4EC6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>
    <w:nsid w:val="75E52CC1"/>
    <w:multiLevelType w:val="multilevel"/>
    <w:tmpl w:val="5BBEE33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F7108B"/>
    <w:rsid w:val="00014D07"/>
    <w:rsid w:val="000E46C6"/>
    <w:rsid w:val="001B4BE5"/>
    <w:rsid w:val="001F2754"/>
    <w:rsid w:val="00275D2D"/>
    <w:rsid w:val="002A3897"/>
    <w:rsid w:val="003757A8"/>
    <w:rsid w:val="00376C85"/>
    <w:rsid w:val="00444EF5"/>
    <w:rsid w:val="004664C7"/>
    <w:rsid w:val="004A5A5D"/>
    <w:rsid w:val="00523A28"/>
    <w:rsid w:val="00530336"/>
    <w:rsid w:val="005A2062"/>
    <w:rsid w:val="005D38F2"/>
    <w:rsid w:val="007D574B"/>
    <w:rsid w:val="00815D77"/>
    <w:rsid w:val="008643CD"/>
    <w:rsid w:val="008659F8"/>
    <w:rsid w:val="008B2EF4"/>
    <w:rsid w:val="008F3CA1"/>
    <w:rsid w:val="009077E0"/>
    <w:rsid w:val="00B3564E"/>
    <w:rsid w:val="00B6183F"/>
    <w:rsid w:val="00BC04BB"/>
    <w:rsid w:val="00C45227"/>
    <w:rsid w:val="00C970B8"/>
    <w:rsid w:val="00D05210"/>
    <w:rsid w:val="00D17C39"/>
    <w:rsid w:val="00D43B6F"/>
    <w:rsid w:val="00D94305"/>
    <w:rsid w:val="00EF748D"/>
    <w:rsid w:val="00F7108B"/>
    <w:rsid w:val="00F72E03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B"/>
  </w:style>
  <w:style w:type="paragraph" w:styleId="1">
    <w:name w:val="heading 1"/>
    <w:basedOn w:val="a"/>
    <w:next w:val="a"/>
    <w:rsid w:val="00F710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10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10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10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7108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710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7108B"/>
  </w:style>
  <w:style w:type="table" w:customStyle="1" w:styleId="TableNormal">
    <w:name w:val="Table Normal"/>
    <w:rsid w:val="00F710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710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710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F710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istParagraph1">
    <w:name w:val="List Paragraph1"/>
    <w:basedOn w:val="a"/>
    <w:uiPriority w:val="99"/>
    <w:rsid w:val="00B356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4BE5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af5">
    <w:name w:val="Базовый"/>
    <w:rsid w:val="008643CD"/>
    <w:pPr>
      <w:suppressAutoHyphens/>
      <w:spacing w:after="200" w:line="276" w:lineRule="auto"/>
    </w:pPr>
    <w:rPr>
      <w:rFonts w:eastAsia="SimSu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0_12_02&amp;an=1274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150922?ed=2020_12_02&amp;an=1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150922?ed=2020_12_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Таня</cp:lastModifiedBy>
  <cp:revision>23</cp:revision>
  <dcterms:created xsi:type="dcterms:W3CDTF">2023-03-07T06:56:00Z</dcterms:created>
  <dcterms:modified xsi:type="dcterms:W3CDTF">2023-03-22T10:18:00Z</dcterms:modified>
</cp:coreProperties>
</file>