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6100EC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6100EC">
        <w:rPr>
          <w:rFonts w:ascii="Times New Roman" w:hAnsi="Times New Roman"/>
          <w:b/>
          <w:bCs/>
          <w:lang w:val="uk-UA"/>
        </w:rPr>
        <w:t>Додаток №</w:t>
      </w:r>
      <w:r w:rsidR="006100EC" w:rsidRPr="006100EC">
        <w:rPr>
          <w:rFonts w:ascii="Times New Roman" w:hAnsi="Times New Roman"/>
          <w:b/>
          <w:bCs/>
          <w:lang w:val="uk-UA"/>
        </w:rPr>
        <w:t xml:space="preserve"> </w:t>
      </w:r>
      <w:r w:rsidR="00D657F1">
        <w:rPr>
          <w:rFonts w:ascii="Times New Roman" w:hAnsi="Times New Roman"/>
          <w:b/>
          <w:bCs/>
          <w:lang w:val="uk-UA"/>
        </w:rPr>
        <w:t>6</w:t>
      </w:r>
    </w:p>
    <w:p w:rsidR="003820F3" w:rsidRPr="006100EC" w:rsidRDefault="003820F3" w:rsidP="003820F3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6100EC">
        <w:rPr>
          <w:rFonts w:ascii="Times New Roman" w:hAnsi="Times New Roman"/>
        </w:rPr>
        <w:t xml:space="preserve">до </w:t>
      </w:r>
      <w:r w:rsidRPr="006100EC">
        <w:rPr>
          <w:rFonts w:ascii="Times New Roman" w:hAnsi="Times New Roman"/>
          <w:lang w:val="uk-UA"/>
        </w:rPr>
        <w:t>тендерної документації</w:t>
      </w:r>
    </w:p>
    <w:p w:rsidR="003820F3" w:rsidRPr="003820F3" w:rsidRDefault="003820F3" w:rsidP="003820F3">
      <w:pPr>
        <w:spacing w:after="0"/>
        <w:rPr>
          <w:rFonts w:ascii="Times New Roman" w:hAnsi="Times New Roman"/>
          <w:lang w:val="uk-UA"/>
        </w:rPr>
      </w:pPr>
    </w:p>
    <w:p w:rsidR="003820F3" w:rsidRPr="003820F3" w:rsidRDefault="003820F3" w:rsidP="003820F3">
      <w:pPr>
        <w:spacing w:after="0" w:line="240" w:lineRule="auto"/>
        <w:rPr>
          <w:rFonts w:ascii="Times New Roman" w:hAnsi="Times New Roman"/>
          <w:i/>
          <w:lang w:val="uk-UA"/>
        </w:rPr>
      </w:pPr>
      <w:r w:rsidRPr="003820F3">
        <w:rPr>
          <w:rFonts w:ascii="Times New Roman" w:hAnsi="Times New Roman"/>
          <w:i/>
          <w:lang w:val="uk-UA"/>
        </w:rPr>
        <w:t xml:space="preserve">Форма тендерної пропозиції </w:t>
      </w:r>
    </w:p>
    <w:p w:rsidR="003820F3" w:rsidRPr="003820F3" w:rsidRDefault="003820F3" w:rsidP="003820F3">
      <w:pPr>
        <w:spacing w:after="0" w:line="240" w:lineRule="auto"/>
        <w:rPr>
          <w:rFonts w:ascii="Times New Roman" w:hAnsi="Times New Roman"/>
          <w:i/>
          <w:lang w:val="uk-UA"/>
        </w:rPr>
      </w:pPr>
      <w:r w:rsidRPr="003820F3">
        <w:rPr>
          <w:rFonts w:ascii="Times New Roman" w:hAnsi="Times New Roman"/>
          <w:i/>
          <w:lang w:val="uk-UA"/>
        </w:rPr>
        <w:t>(оформлюється на фірмовому бланку (за наявності))</w:t>
      </w:r>
    </w:p>
    <w:p w:rsidR="003820F3" w:rsidRPr="003820F3" w:rsidRDefault="003820F3" w:rsidP="003820F3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</w:p>
    <w:p w:rsidR="003820F3" w:rsidRPr="003820F3" w:rsidRDefault="003820F3" w:rsidP="00CE21B1">
      <w:pPr>
        <w:spacing w:after="0"/>
        <w:jc w:val="center"/>
        <w:rPr>
          <w:rFonts w:ascii="Times New Roman" w:hAnsi="Times New Roman"/>
          <w:b/>
          <w:lang w:val="uk-UA"/>
        </w:rPr>
      </w:pPr>
      <w:r w:rsidRPr="003820F3">
        <w:rPr>
          <w:rFonts w:ascii="Times New Roman" w:hAnsi="Times New Roman"/>
          <w:b/>
          <w:lang w:val="uk-UA"/>
        </w:rPr>
        <w:t>ТЕНДЕРНА ПРОПОЗИЦІЯ</w:t>
      </w:r>
    </w:p>
    <w:p w:rsidR="003820F3" w:rsidRPr="00EB32B6" w:rsidRDefault="00C372DB" w:rsidP="00CA537C">
      <w:pPr>
        <w:spacing w:before="120" w:after="120"/>
        <w:ind w:firstLine="720"/>
        <w:jc w:val="both"/>
        <w:rPr>
          <w:rFonts w:ascii="Times New Roman" w:hAnsi="Times New Roman"/>
          <w:lang w:val="uk-UA"/>
        </w:rPr>
      </w:pPr>
      <w:r w:rsidRPr="00C372DB">
        <w:rPr>
          <w:rFonts w:ascii="Times New Roman" w:hAnsi="Times New Roman"/>
          <w:lang w:val="uk-UA"/>
        </w:rPr>
        <w:t xml:space="preserve">Ми, _____________________(назва Учасника), надаємо свою пропозицію щодо участі у торгах на закупівлю послуг  </w:t>
      </w:r>
      <w:r w:rsidR="00EB32B6" w:rsidRPr="00EB32B6">
        <w:rPr>
          <w:rFonts w:ascii="Times New Roman" w:hAnsi="Times New Roman"/>
          <w:b/>
          <w:color w:val="000000"/>
          <w:lang w:val="uk-UA"/>
        </w:rPr>
        <w:t xml:space="preserve">ДК 021:2015 </w:t>
      </w:r>
      <w:r w:rsidR="00322806">
        <w:rPr>
          <w:rFonts w:ascii="Times New Roman" w:hAnsi="Times New Roman"/>
          <w:b/>
          <w:color w:val="000000"/>
          <w:lang w:val="uk-UA"/>
        </w:rPr>
        <w:t>-</w:t>
      </w:r>
      <w:r w:rsidR="00EB32B6" w:rsidRPr="00EB32B6">
        <w:rPr>
          <w:rFonts w:ascii="Times New Roman" w:hAnsi="Times New Roman"/>
          <w:b/>
          <w:color w:val="000000"/>
          <w:lang w:val="uk-UA"/>
        </w:rPr>
        <w:t xml:space="preserve"> </w:t>
      </w:r>
      <w:r w:rsidR="00EB32B6" w:rsidRPr="00EB32B6">
        <w:rPr>
          <w:rFonts w:ascii="Times New Roman" w:eastAsia="Times New Roman" w:hAnsi="Times New Roman"/>
          <w:b/>
          <w:lang w:val="uk-UA"/>
        </w:rPr>
        <w:t>66510000-8 – Страхові послуги (</w:t>
      </w:r>
      <w:r w:rsidR="005E1D1D">
        <w:rPr>
          <w:rFonts w:ascii="Times New Roman" w:eastAsia="Times New Roman" w:hAnsi="Times New Roman"/>
          <w:b/>
          <w:lang w:val="uk-UA"/>
        </w:rPr>
        <w:t>С</w:t>
      </w:r>
      <w:r w:rsidR="00EB32B6" w:rsidRPr="00EB32B6">
        <w:rPr>
          <w:rFonts w:ascii="Times New Roman" w:eastAsia="Times New Roman" w:hAnsi="Times New Roman"/>
          <w:b/>
          <w:lang w:val="uk-UA"/>
        </w:rPr>
        <w:t>трахування цивільно-правової відповідальності власників наземн</w:t>
      </w:r>
      <w:r w:rsidR="005E1D1D">
        <w:rPr>
          <w:rFonts w:ascii="Times New Roman" w:eastAsia="Times New Roman" w:hAnsi="Times New Roman"/>
          <w:b/>
          <w:lang w:val="uk-UA"/>
        </w:rPr>
        <w:t>их</w:t>
      </w:r>
      <w:r w:rsidR="00EB32B6" w:rsidRPr="00EB32B6">
        <w:rPr>
          <w:rFonts w:ascii="Times New Roman" w:eastAsia="Times New Roman" w:hAnsi="Times New Roman"/>
          <w:b/>
          <w:lang w:val="uk-UA"/>
        </w:rPr>
        <w:t xml:space="preserve"> транспорт</w:t>
      </w:r>
      <w:r w:rsidR="005E1D1D">
        <w:rPr>
          <w:rFonts w:ascii="Times New Roman" w:eastAsia="Times New Roman" w:hAnsi="Times New Roman"/>
          <w:b/>
          <w:lang w:val="uk-UA"/>
        </w:rPr>
        <w:t>них засобів</w:t>
      </w:r>
      <w:r w:rsidR="00EB32B6" w:rsidRPr="00EB32B6">
        <w:rPr>
          <w:rFonts w:ascii="Times New Roman" w:eastAsia="Times New Roman" w:hAnsi="Times New Roman"/>
          <w:b/>
          <w:lang w:val="uk-UA"/>
        </w:rPr>
        <w:t xml:space="preserve">) </w:t>
      </w:r>
      <w:r w:rsidR="003820F3" w:rsidRPr="00EB32B6">
        <w:rPr>
          <w:rFonts w:ascii="Times New Roman" w:hAnsi="Times New Roman"/>
          <w:lang w:val="uk-UA"/>
        </w:rPr>
        <w:t>згідно з технічни</w:t>
      </w:r>
      <w:r w:rsidR="00CA537C" w:rsidRPr="00EB32B6">
        <w:rPr>
          <w:rFonts w:ascii="Times New Roman" w:hAnsi="Times New Roman"/>
          <w:lang w:val="uk-UA"/>
        </w:rPr>
        <w:t>м завданням та іншими вимогами З</w:t>
      </w:r>
      <w:r w:rsidR="003820F3" w:rsidRPr="00EB32B6">
        <w:rPr>
          <w:rFonts w:ascii="Times New Roman" w:hAnsi="Times New Roman"/>
          <w:lang w:val="uk-UA"/>
        </w:rPr>
        <w:t>амовника торгів.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578"/>
        <w:gridCol w:w="1418"/>
        <w:gridCol w:w="992"/>
        <w:gridCol w:w="1671"/>
        <w:gridCol w:w="594"/>
        <w:gridCol w:w="1187"/>
        <w:gridCol w:w="1383"/>
      </w:tblGrid>
      <w:tr w:rsidR="00EB32B6" w:rsidRPr="00F34C73" w:rsidTr="007A6F1F">
        <w:tc>
          <w:tcPr>
            <w:tcW w:w="798" w:type="dxa"/>
            <w:shd w:val="clear" w:color="auto" w:fill="auto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№ з/п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7A6F1F">
              <w:rPr>
                <w:rFonts w:eastAsia="Calibri"/>
                <w:sz w:val="22"/>
                <w:szCs w:val="22"/>
              </w:rPr>
              <w:t>Об'єм двигуна,</w:t>
            </w:r>
          </w:p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rFonts w:eastAsia="Calibri"/>
                <w:sz w:val="22"/>
                <w:szCs w:val="22"/>
              </w:rPr>
              <w:t>см</w:t>
            </w:r>
            <w:r w:rsidRPr="007A6F1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Рік випуску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Термін дії полісу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Тип т/з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Франшиза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Страховий платіж з ПДВ, грн.</w:t>
            </w:r>
          </w:p>
        </w:tc>
      </w:tr>
      <w:tr w:rsidR="007A6F1F" w:rsidRPr="00A74028" w:rsidTr="005E1D1D">
        <w:tc>
          <w:tcPr>
            <w:tcW w:w="798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6F1F" w:rsidRPr="007A6F1F" w:rsidRDefault="007A6F1F" w:rsidP="009337A9">
            <w:pPr>
              <w:pStyle w:val="a"/>
              <w:numPr>
                <w:ilvl w:val="0"/>
                <w:numId w:val="0"/>
              </w:numPr>
              <w:jc w:val="left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  <w:lang w:val="en-US"/>
              </w:rPr>
              <w:t xml:space="preserve">Skoda Oktavia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  <w:lang w:val="en-US"/>
              </w:rPr>
            </w:pPr>
            <w:r w:rsidRPr="007A6F1F">
              <w:rPr>
                <w:noProof/>
                <w:sz w:val="22"/>
                <w:szCs w:val="22"/>
                <w:lang w:val="en-US"/>
              </w:rPr>
              <w:t>1</w:t>
            </w:r>
            <w:r w:rsidRPr="007A6F1F">
              <w:rPr>
                <w:noProof/>
                <w:sz w:val="22"/>
                <w:szCs w:val="22"/>
              </w:rPr>
              <w:t>595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  <w:lang w:val="en-US"/>
              </w:rPr>
              <w:t>200</w:t>
            </w:r>
            <w:r w:rsidRPr="007A6F1F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12 місяців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>B1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7A6F1F" w:rsidRPr="00A74028" w:rsidTr="000B232D">
        <w:tc>
          <w:tcPr>
            <w:tcW w:w="798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6F1F" w:rsidRPr="007A6F1F" w:rsidRDefault="007A6F1F" w:rsidP="000B23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6F1F">
              <w:rPr>
                <w:rFonts w:ascii="Times New Roman" w:hAnsi="Times New Roman"/>
              </w:rPr>
              <w:t>Skoda</w:t>
            </w:r>
            <w:proofErr w:type="spellEnd"/>
            <w:r w:rsidRPr="007A6F1F">
              <w:rPr>
                <w:rFonts w:ascii="Times New Roman" w:hAnsi="Times New Roman"/>
              </w:rPr>
              <w:t xml:space="preserve"> </w:t>
            </w:r>
            <w:proofErr w:type="spellStart"/>
            <w:r w:rsidRPr="007A6F1F">
              <w:rPr>
                <w:rFonts w:ascii="Times New Roman" w:hAnsi="Times New Roman"/>
              </w:rPr>
              <w:t>Oktavia</w:t>
            </w:r>
            <w:proofErr w:type="spellEnd"/>
            <w:r w:rsidRPr="007A6F1F">
              <w:rPr>
                <w:rFonts w:ascii="Times New Roman" w:hAnsi="Times New Roman"/>
              </w:rPr>
              <w:t xml:space="preserve"> </w:t>
            </w:r>
            <w:proofErr w:type="spellStart"/>
            <w:r w:rsidRPr="007A6F1F">
              <w:rPr>
                <w:rFonts w:ascii="Times New Roman" w:hAnsi="Times New Roman"/>
              </w:rPr>
              <w:t>Tour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>1781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>2007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12 місяців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>B2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rPr>
                <w:noProof/>
                <w:sz w:val="22"/>
                <w:szCs w:val="22"/>
                <w:lang w:val="en-US"/>
              </w:rPr>
            </w:pPr>
          </w:p>
        </w:tc>
      </w:tr>
      <w:tr w:rsidR="007A6F1F" w:rsidRPr="00A74028" w:rsidTr="000B232D">
        <w:tc>
          <w:tcPr>
            <w:tcW w:w="798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6F1F" w:rsidRPr="007A6F1F" w:rsidRDefault="007A6F1F" w:rsidP="000B232D">
            <w:pPr>
              <w:jc w:val="center"/>
              <w:rPr>
                <w:rFonts w:ascii="Times New Roman" w:hAnsi="Times New Roman"/>
                <w:lang w:val="en-US"/>
              </w:rPr>
            </w:pPr>
            <w:r w:rsidRPr="007A6F1F">
              <w:rPr>
                <w:rFonts w:ascii="Times New Roman" w:hAnsi="Times New Roman"/>
                <w:lang w:val="en-US"/>
              </w:rPr>
              <w:t>ISUZU Trooper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  <w:lang w:val="en-US"/>
              </w:rPr>
            </w:pPr>
            <w:r w:rsidRPr="007A6F1F">
              <w:rPr>
                <w:rFonts w:ascii="Times New Roman" w:hAnsi="Times New Roman"/>
                <w:lang w:val="en-US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  <w:lang w:val="en-US"/>
              </w:rPr>
            </w:pPr>
            <w:r w:rsidRPr="007A6F1F">
              <w:rPr>
                <w:rFonts w:ascii="Times New Roman" w:hAnsi="Times New Roman"/>
                <w:lang w:val="en-US"/>
              </w:rPr>
              <w:t>1998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 xml:space="preserve">12 </w:t>
            </w:r>
            <w:proofErr w:type="spellStart"/>
            <w:r w:rsidRPr="007A6F1F">
              <w:rPr>
                <w:rFonts w:ascii="Times New Roman" w:hAnsi="Times New Roman"/>
              </w:rPr>
              <w:t>місяців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>B4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rPr>
                <w:noProof/>
                <w:sz w:val="22"/>
                <w:szCs w:val="22"/>
                <w:lang w:val="en-US"/>
              </w:rPr>
            </w:pPr>
          </w:p>
        </w:tc>
      </w:tr>
      <w:tr w:rsidR="007A6F1F" w:rsidRPr="00A74028" w:rsidTr="00921577">
        <w:tc>
          <w:tcPr>
            <w:tcW w:w="798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6F1F" w:rsidRPr="007A6F1F" w:rsidRDefault="007A6F1F" w:rsidP="00921577">
            <w:pPr>
              <w:jc w:val="center"/>
              <w:rPr>
                <w:rFonts w:ascii="Times New Roman" w:hAnsi="Times New Roman"/>
                <w:lang w:val="en-US"/>
              </w:rPr>
            </w:pPr>
            <w:r w:rsidRPr="007A6F1F">
              <w:rPr>
                <w:rFonts w:ascii="Times New Roman" w:hAnsi="Times New Roman"/>
              </w:rPr>
              <w:t>ГАЗ 22171</w:t>
            </w:r>
          </w:p>
        </w:tc>
        <w:tc>
          <w:tcPr>
            <w:tcW w:w="1418" w:type="dxa"/>
            <w:shd w:val="clear" w:color="auto" w:fill="auto"/>
          </w:tcPr>
          <w:p w:rsidR="007A6F1F" w:rsidRPr="007A6F1F" w:rsidRDefault="007A6F1F" w:rsidP="007A6F1F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 xml:space="preserve">10 (сидячих </w:t>
            </w:r>
            <w:proofErr w:type="spellStart"/>
            <w:proofErr w:type="gramStart"/>
            <w:r w:rsidRPr="007A6F1F">
              <w:rPr>
                <w:rFonts w:ascii="Times New Roman" w:hAnsi="Times New Roman"/>
              </w:rPr>
              <w:t>м</w:t>
            </w:r>
            <w:proofErr w:type="gramEnd"/>
            <w:r w:rsidRPr="007A6F1F">
              <w:rPr>
                <w:rFonts w:ascii="Times New Roman" w:hAnsi="Times New Roman"/>
              </w:rPr>
              <w:t>ісць</w:t>
            </w:r>
            <w:proofErr w:type="spellEnd"/>
            <w:r w:rsidRPr="007A6F1F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A6F1F" w:rsidRPr="007A6F1F" w:rsidRDefault="007A6F1F" w:rsidP="007A6F1F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>2003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  <w:lang w:val="en-US"/>
              </w:rPr>
            </w:pPr>
            <w:r w:rsidRPr="007A6F1F">
              <w:rPr>
                <w:rFonts w:ascii="Times New Roman" w:hAnsi="Times New Roman"/>
              </w:rPr>
              <w:t xml:space="preserve">6 </w:t>
            </w:r>
            <w:proofErr w:type="spellStart"/>
            <w:r w:rsidRPr="007A6F1F">
              <w:rPr>
                <w:rFonts w:ascii="Times New Roman" w:hAnsi="Times New Roman"/>
              </w:rPr>
              <w:t>місяців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7A6F1F" w:rsidRPr="007A6F1F" w:rsidRDefault="007A6F1F" w:rsidP="005E1D1D">
            <w:pPr>
              <w:jc w:val="center"/>
              <w:rPr>
                <w:rFonts w:ascii="Times New Roman" w:hAnsi="Times New Roman"/>
              </w:rPr>
            </w:pPr>
            <w:r w:rsidRPr="007A6F1F">
              <w:rPr>
                <w:rFonts w:ascii="Times New Roman" w:hAnsi="Times New Roman"/>
              </w:rPr>
              <w:t>D1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jc w:val="center"/>
              <w:rPr>
                <w:noProof/>
                <w:sz w:val="22"/>
                <w:szCs w:val="22"/>
              </w:rPr>
            </w:pPr>
            <w:r w:rsidRPr="007A6F1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F1F" w:rsidRPr="007A6F1F" w:rsidRDefault="007A6F1F" w:rsidP="007A6F1F">
            <w:pPr>
              <w:pStyle w:val="a"/>
              <w:numPr>
                <w:ilvl w:val="0"/>
                <w:numId w:val="0"/>
              </w:numPr>
              <w:rPr>
                <w:noProof/>
                <w:sz w:val="22"/>
                <w:szCs w:val="22"/>
                <w:lang w:val="en-US"/>
              </w:rPr>
            </w:pPr>
          </w:p>
        </w:tc>
      </w:tr>
      <w:tr w:rsidR="00EB32B6" w:rsidRPr="00A74028" w:rsidTr="007A6F1F">
        <w:tc>
          <w:tcPr>
            <w:tcW w:w="8238" w:type="dxa"/>
            <w:gridSpan w:val="7"/>
            <w:shd w:val="clear" w:color="auto" w:fill="auto"/>
            <w:vAlign w:val="center"/>
          </w:tcPr>
          <w:p w:rsidR="00EB32B6" w:rsidRPr="007A6F1F" w:rsidRDefault="00D36855" w:rsidP="00A671E7">
            <w:pPr>
              <w:pStyle w:val="a"/>
              <w:numPr>
                <w:ilvl w:val="0"/>
                <w:numId w:val="0"/>
              </w:numPr>
              <w:rPr>
                <w:b/>
                <w:noProof/>
                <w:sz w:val="22"/>
                <w:szCs w:val="22"/>
              </w:rPr>
            </w:pPr>
            <w:r w:rsidRPr="007A6F1F">
              <w:rPr>
                <w:b/>
                <w:sz w:val="22"/>
                <w:szCs w:val="22"/>
              </w:rPr>
              <w:t>Загальна вартість без ПДВ</w:t>
            </w:r>
            <w:r w:rsidR="00EB32B6" w:rsidRPr="007A6F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rPr>
                <w:noProof/>
                <w:sz w:val="22"/>
                <w:szCs w:val="22"/>
                <w:lang w:val="en-US"/>
              </w:rPr>
            </w:pPr>
          </w:p>
        </w:tc>
      </w:tr>
      <w:tr w:rsidR="00EB32B6" w:rsidRPr="00A74028" w:rsidTr="007A6F1F">
        <w:tc>
          <w:tcPr>
            <w:tcW w:w="8238" w:type="dxa"/>
            <w:gridSpan w:val="7"/>
            <w:shd w:val="clear" w:color="auto" w:fill="auto"/>
            <w:vAlign w:val="center"/>
          </w:tcPr>
          <w:p w:rsidR="00EB32B6" w:rsidRPr="007A6F1F" w:rsidRDefault="00D36855" w:rsidP="00A671E7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noProof/>
                <w:sz w:val="22"/>
                <w:szCs w:val="22"/>
              </w:rPr>
            </w:pPr>
            <w:r w:rsidRPr="007A6F1F">
              <w:rPr>
                <w:b/>
                <w:sz w:val="22"/>
                <w:szCs w:val="22"/>
              </w:rPr>
              <w:t>Крім того ПДВ</w:t>
            </w:r>
            <w:r w:rsidR="00EB32B6" w:rsidRPr="007A6F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rPr>
                <w:noProof/>
                <w:sz w:val="22"/>
                <w:szCs w:val="22"/>
                <w:lang w:val="en-US"/>
              </w:rPr>
            </w:pPr>
          </w:p>
        </w:tc>
      </w:tr>
      <w:tr w:rsidR="00EB32B6" w:rsidRPr="00A74028" w:rsidTr="007A6F1F">
        <w:tc>
          <w:tcPr>
            <w:tcW w:w="8238" w:type="dxa"/>
            <w:gridSpan w:val="7"/>
            <w:shd w:val="clear" w:color="auto" w:fill="auto"/>
            <w:vAlign w:val="center"/>
          </w:tcPr>
          <w:p w:rsidR="00EB32B6" w:rsidRPr="007A6F1F" w:rsidRDefault="00D36855" w:rsidP="00A671E7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noProof/>
                <w:sz w:val="22"/>
                <w:szCs w:val="22"/>
              </w:rPr>
            </w:pPr>
            <w:r w:rsidRPr="007A6F1F">
              <w:rPr>
                <w:b/>
                <w:sz w:val="22"/>
                <w:szCs w:val="22"/>
              </w:rPr>
              <w:t>Загальна вартість з ПДВ</w:t>
            </w:r>
            <w:r w:rsidR="00EB32B6" w:rsidRPr="007A6F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32B6" w:rsidRPr="007A6F1F" w:rsidRDefault="00EB32B6" w:rsidP="00A671E7">
            <w:pPr>
              <w:pStyle w:val="a"/>
              <w:numPr>
                <w:ilvl w:val="0"/>
                <w:numId w:val="0"/>
              </w:numPr>
              <w:rPr>
                <w:noProof/>
                <w:sz w:val="22"/>
                <w:szCs w:val="22"/>
                <w:lang w:val="en-US"/>
              </w:rPr>
            </w:pPr>
          </w:p>
        </w:tc>
      </w:tr>
    </w:tbl>
    <w:p w:rsidR="00EB32B6" w:rsidRPr="00F34C73" w:rsidRDefault="00EB32B6" w:rsidP="00EB32B6">
      <w:pPr>
        <w:keepNext/>
        <w:keepLines/>
        <w:jc w:val="both"/>
        <w:rPr>
          <w:rFonts w:ascii="Times New Roman" w:hAnsi="Times New Roman"/>
        </w:rPr>
      </w:pPr>
    </w:p>
    <w:p w:rsidR="00CA537C" w:rsidRPr="00EB32B6" w:rsidRDefault="00EB32B6" w:rsidP="00EB32B6">
      <w:pPr>
        <w:keepNext/>
        <w:keepLines/>
        <w:ind w:firstLine="708"/>
        <w:jc w:val="both"/>
        <w:rPr>
          <w:rFonts w:ascii="Times New Roman" w:hAnsi="Times New Roman"/>
        </w:rPr>
      </w:pPr>
      <w:proofErr w:type="spellStart"/>
      <w:r w:rsidRPr="00BC7CF9">
        <w:rPr>
          <w:rFonts w:ascii="Times New Roman" w:hAnsi="Times New Roman"/>
          <w:b/>
        </w:rPr>
        <w:t>Загальна</w:t>
      </w:r>
      <w:proofErr w:type="spellEnd"/>
      <w:r w:rsidRPr="00BC7CF9">
        <w:rPr>
          <w:rFonts w:ascii="Times New Roman" w:hAnsi="Times New Roman"/>
          <w:b/>
        </w:rPr>
        <w:t xml:space="preserve"> </w:t>
      </w:r>
      <w:proofErr w:type="spellStart"/>
      <w:r w:rsidRPr="00BC7CF9">
        <w:rPr>
          <w:rFonts w:ascii="Times New Roman" w:hAnsi="Times New Roman"/>
          <w:b/>
        </w:rPr>
        <w:t>вартість</w:t>
      </w:r>
      <w:proofErr w:type="spellEnd"/>
      <w:r w:rsidRPr="00BC7CF9">
        <w:rPr>
          <w:rFonts w:ascii="Times New Roman" w:hAnsi="Times New Roman"/>
          <w:b/>
        </w:rPr>
        <w:t xml:space="preserve"> </w:t>
      </w:r>
      <w:proofErr w:type="spellStart"/>
      <w:r w:rsidRPr="00BC7CF9">
        <w:rPr>
          <w:rFonts w:ascii="Times New Roman" w:hAnsi="Times New Roman"/>
          <w:b/>
        </w:rPr>
        <w:t>пропозиції</w:t>
      </w:r>
      <w:proofErr w:type="spellEnd"/>
      <w:r w:rsidRPr="00BC7CF9">
        <w:rPr>
          <w:rFonts w:ascii="Times New Roman" w:hAnsi="Times New Roman"/>
          <w:b/>
        </w:rPr>
        <w:t xml:space="preserve"> </w:t>
      </w:r>
      <w:proofErr w:type="spellStart"/>
      <w:r w:rsidRPr="00BC7CF9">
        <w:rPr>
          <w:rFonts w:ascii="Times New Roman" w:hAnsi="Times New Roman"/>
          <w:b/>
        </w:rPr>
        <w:t>склада</w:t>
      </w:r>
      <w:proofErr w:type="gramStart"/>
      <w:r w:rsidRPr="00BC7CF9">
        <w:rPr>
          <w:rFonts w:ascii="Times New Roman" w:hAnsi="Times New Roman"/>
          <w:b/>
        </w:rPr>
        <w:t>є</w:t>
      </w:r>
      <w:proofErr w:type="spellEnd"/>
      <w:r w:rsidRPr="00BC7CF9">
        <w:rPr>
          <w:rFonts w:ascii="Times New Roman" w:hAnsi="Times New Roman"/>
          <w:b/>
        </w:rPr>
        <w:t>:</w:t>
      </w:r>
      <w:proofErr w:type="gramEnd"/>
      <w:r w:rsidRPr="00F34C73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 xml:space="preserve">______ </w:t>
      </w:r>
      <w:r w:rsidRPr="00F34C73">
        <w:rPr>
          <w:rFonts w:ascii="Times New Roman" w:hAnsi="Times New Roman"/>
        </w:rPr>
        <w:t>(</w:t>
      </w:r>
      <w:proofErr w:type="spellStart"/>
      <w:r w:rsidRPr="00F34C73">
        <w:rPr>
          <w:rFonts w:ascii="Times New Roman" w:hAnsi="Times New Roman"/>
        </w:rPr>
        <w:t>прописом</w:t>
      </w:r>
      <w:proofErr w:type="spellEnd"/>
      <w:r w:rsidRPr="00F34C73">
        <w:rPr>
          <w:rFonts w:ascii="Times New Roman" w:hAnsi="Times New Roman"/>
        </w:rPr>
        <w:t xml:space="preserve">),                 в </w:t>
      </w:r>
      <w:proofErr w:type="spellStart"/>
      <w:r w:rsidRPr="00F34C73">
        <w:rPr>
          <w:rFonts w:ascii="Times New Roman" w:hAnsi="Times New Roman"/>
        </w:rPr>
        <w:t>т.ч</w:t>
      </w:r>
      <w:proofErr w:type="spellEnd"/>
      <w:r w:rsidRPr="00F34C73">
        <w:rPr>
          <w:rFonts w:ascii="Times New Roman" w:hAnsi="Times New Roman"/>
        </w:rPr>
        <w:t xml:space="preserve">. ПДВ </w:t>
      </w:r>
      <w:r w:rsidRPr="00F34C73">
        <w:rPr>
          <w:rFonts w:ascii="Times New Roman" w:hAnsi="Times New Roman"/>
          <w:i/>
        </w:rPr>
        <w:t>(</w:t>
      </w:r>
      <w:proofErr w:type="spellStart"/>
      <w:r w:rsidRPr="00F34C73">
        <w:rPr>
          <w:rFonts w:ascii="Times New Roman" w:hAnsi="Times New Roman"/>
          <w:i/>
        </w:rPr>
        <w:t>або</w:t>
      </w:r>
      <w:proofErr w:type="spellEnd"/>
      <w:r w:rsidRPr="00F34C73">
        <w:rPr>
          <w:rFonts w:ascii="Times New Roman" w:hAnsi="Times New Roman"/>
          <w:i/>
        </w:rPr>
        <w:t xml:space="preserve"> без ПДВ</w:t>
      </w:r>
      <w:r w:rsidR="00D36855">
        <w:rPr>
          <w:rFonts w:ascii="Times New Roman" w:hAnsi="Times New Roman"/>
        </w:rPr>
        <w:t>)___________________</w:t>
      </w:r>
      <w:r>
        <w:rPr>
          <w:rFonts w:ascii="Times New Roman" w:hAnsi="Times New Roman"/>
        </w:rPr>
        <w:t>.</w:t>
      </w:r>
    </w:p>
    <w:p w:rsidR="00156DE9" w:rsidRPr="00156DE9" w:rsidRDefault="00156DE9" w:rsidP="00156D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DE9">
        <w:rPr>
          <w:rFonts w:ascii="Times New Roman" w:hAnsi="Times New Roman"/>
          <w:color w:val="000000"/>
          <w:sz w:val="24"/>
          <w:szCs w:val="24"/>
        </w:rPr>
        <w:t xml:space="preserve">1. До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намір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ваша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тендерна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документація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разом з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нашою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пропозицією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(за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її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всім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вимогам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мають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силу протоколу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намірів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між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нами.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розгляду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оцінки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нас буде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визначено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візьмемо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на себе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зобов’язання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156DE9" w:rsidRPr="00156DE9" w:rsidRDefault="00156DE9" w:rsidP="00156D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DE9">
        <w:rPr>
          <w:rFonts w:ascii="Times New Roman" w:hAnsi="Times New Roman"/>
          <w:color w:val="000000"/>
          <w:sz w:val="24"/>
          <w:szCs w:val="24"/>
        </w:rPr>
        <w:t xml:space="preserve">2. 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погоджуємося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дотримуватися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умов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цієї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4B3">
        <w:rPr>
          <w:rFonts w:ascii="Times New Roman" w:hAnsi="Times New Roman"/>
          <w:color w:val="000000"/>
          <w:sz w:val="24"/>
          <w:szCs w:val="24"/>
          <w:lang w:val="uk-UA"/>
        </w:rPr>
        <w:t xml:space="preserve">не менше </w:t>
      </w:r>
      <w:proofErr w:type="gramStart"/>
      <w:r w:rsidR="006854B3">
        <w:rPr>
          <w:rFonts w:ascii="Times New Roman" w:hAnsi="Times New Roman"/>
          <w:color w:val="000000"/>
          <w:sz w:val="24"/>
          <w:szCs w:val="24"/>
          <w:lang w:val="uk-UA"/>
        </w:rPr>
        <w:t>ніж</w:t>
      </w:r>
      <w:proofErr w:type="gramEnd"/>
      <w:r w:rsidR="006854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="00011E14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156DE9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кінцевого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подання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тендерних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установленого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вами. Наша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тендерна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буде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обов’язковою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для нас і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бути за результатами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розгляду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оцінки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визначена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у будь-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час до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закінчення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зазначеного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терміну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>.</w:t>
      </w:r>
    </w:p>
    <w:p w:rsidR="00156DE9" w:rsidRPr="00156DE9" w:rsidRDefault="00156DE9" w:rsidP="00156D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DE9">
        <w:rPr>
          <w:rFonts w:ascii="Times New Roman" w:hAnsi="Times New Roman"/>
          <w:color w:val="000000"/>
          <w:sz w:val="24"/>
          <w:szCs w:val="24"/>
        </w:rPr>
        <w:t xml:space="preserve">3. 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погоджуємося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Ви можете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відхилити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нашу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та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розуміємо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Ви не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обмежені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прийнятті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будь-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якої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іншої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більш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вигідними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для Вас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56DE9" w:rsidRPr="00156DE9" w:rsidRDefault="00156DE9" w:rsidP="00156D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DE9">
        <w:rPr>
          <w:rFonts w:ascii="Times New Roman" w:hAnsi="Times New Roman"/>
          <w:color w:val="000000"/>
          <w:sz w:val="24"/>
          <w:szCs w:val="24"/>
        </w:rPr>
        <w:lastRenderedPageBreak/>
        <w:t xml:space="preserve">4. 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розуміємо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погоджуємося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Ви можете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відмінити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процедуру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відсутності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подальшої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потреби 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>.</w:t>
      </w:r>
    </w:p>
    <w:p w:rsidR="00156DE9" w:rsidRPr="00156DE9" w:rsidRDefault="00156DE9" w:rsidP="00156D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DE9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наша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тендерна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пропозиція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буде акцептована, 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беремо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на себе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зобов’язання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підписати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пізніше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через 15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(60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обґрунтованого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продовження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строків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  <w:highlight w:val="white"/>
        </w:rPr>
        <w:t>укладання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договору</w:t>
      </w:r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) з дня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намір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але не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через 5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DE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  <w:highlight w:val="white"/>
        </w:rPr>
        <w:t>електронній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  <w:highlight w:val="white"/>
        </w:rPr>
        <w:t>системі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закупівель</w:t>
      </w:r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намір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>.</w:t>
      </w:r>
    </w:p>
    <w:p w:rsidR="00156DE9" w:rsidRPr="00156DE9" w:rsidRDefault="00156DE9" w:rsidP="00156D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DE9">
        <w:rPr>
          <w:rFonts w:ascii="Times New Roman" w:hAnsi="Times New Roman"/>
          <w:color w:val="000000"/>
          <w:sz w:val="24"/>
          <w:szCs w:val="24"/>
        </w:rPr>
        <w:t xml:space="preserve">6. 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погоджуємось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закупівля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товару буде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проводитись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урахуванням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реального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фінансування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видатків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(та/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надходження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коштів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) Державного бюджету на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зазначені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цілі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>.</w:t>
      </w:r>
    </w:p>
    <w:p w:rsidR="00156DE9" w:rsidRPr="00156DE9" w:rsidRDefault="00156DE9" w:rsidP="00156D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6DE9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Зазначеним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нижче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підписом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ми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підтверджуємо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повну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безумовну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беззаперечну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згоду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усіма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визначеними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тендерній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DE9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156DE9">
        <w:rPr>
          <w:rFonts w:ascii="Times New Roman" w:hAnsi="Times New Roman"/>
          <w:color w:val="000000"/>
          <w:sz w:val="24"/>
          <w:szCs w:val="24"/>
        </w:rPr>
        <w:t>.</w:t>
      </w:r>
    </w:p>
    <w:p w:rsidR="00CA537C" w:rsidRPr="00156DE9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100EC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lang w:val="uk-UA"/>
        </w:rPr>
      </w:pPr>
    </w:p>
    <w:p w:rsidR="00156DE9" w:rsidRDefault="00156DE9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lang w:val="uk-UA"/>
        </w:rPr>
      </w:pPr>
    </w:p>
    <w:p w:rsidR="00156DE9" w:rsidRPr="003820F3" w:rsidRDefault="00156DE9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D54BF3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Default="00D54BF3" w:rsidP="00D54BF3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Default="00D54BF3" w:rsidP="00D54BF3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Default="00D54BF3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Default="00D54BF3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Default="00D54BF3" w:rsidP="00D54BF3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Default="00D54BF3" w:rsidP="00D54BF3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EF498F" w:rsidRDefault="00EF498F" w:rsidP="006100EC">
      <w:pPr>
        <w:rPr>
          <w:lang w:val="uk-UA"/>
        </w:rPr>
      </w:pPr>
    </w:p>
    <w:p w:rsidR="007A6F1F" w:rsidRPr="003820F3" w:rsidRDefault="007A6F1F" w:rsidP="006100EC">
      <w:pPr>
        <w:rPr>
          <w:lang w:val="uk-UA"/>
        </w:rPr>
      </w:pPr>
    </w:p>
    <w:sectPr w:rsidR="007A6F1F" w:rsidRPr="003820F3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CF" w:rsidRDefault="009B1DCF" w:rsidP="009C0A3F">
      <w:pPr>
        <w:spacing w:after="0" w:line="240" w:lineRule="auto"/>
      </w:pPr>
      <w:r>
        <w:separator/>
      </w:r>
    </w:p>
  </w:endnote>
  <w:endnote w:type="continuationSeparator" w:id="0">
    <w:p w:rsidR="009B1DCF" w:rsidRDefault="009B1DCF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6"/>
      <w:jc w:val="right"/>
    </w:pPr>
  </w:p>
  <w:p w:rsidR="009C0A3F" w:rsidRDefault="009C0A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CF" w:rsidRDefault="009B1DCF" w:rsidP="009C0A3F">
      <w:pPr>
        <w:spacing w:after="0" w:line="240" w:lineRule="auto"/>
      </w:pPr>
      <w:r>
        <w:separator/>
      </w:r>
    </w:p>
  </w:footnote>
  <w:footnote w:type="continuationSeparator" w:id="0">
    <w:p w:rsidR="009B1DCF" w:rsidRDefault="009B1DCF" w:rsidP="009C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FAA"/>
    <w:multiLevelType w:val="multilevel"/>
    <w:tmpl w:val="EA567A3C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11E14"/>
    <w:rsid w:val="00057B1E"/>
    <w:rsid w:val="00086283"/>
    <w:rsid w:val="00097974"/>
    <w:rsid w:val="000A47D2"/>
    <w:rsid w:val="000B232D"/>
    <w:rsid w:val="000C1A8A"/>
    <w:rsid w:val="000F21F6"/>
    <w:rsid w:val="00156DE9"/>
    <w:rsid w:val="001C221F"/>
    <w:rsid w:val="00202291"/>
    <w:rsid w:val="002061DE"/>
    <w:rsid w:val="002E55F2"/>
    <w:rsid w:val="00322806"/>
    <w:rsid w:val="003820F3"/>
    <w:rsid w:val="003D2227"/>
    <w:rsid w:val="003F55E7"/>
    <w:rsid w:val="00457900"/>
    <w:rsid w:val="005E1D1D"/>
    <w:rsid w:val="006100EC"/>
    <w:rsid w:val="006854B3"/>
    <w:rsid w:val="007A6F1F"/>
    <w:rsid w:val="007C6F62"/>
    <w:rsid w:val="00866C50"/>
    <w:rsid w:val="00921577"/>
    <w:rsid w:val="009337A9"/>
    <w:rsid w:val="00993864"/>
    <w:rsid w:val="009B1DCF"/>
    <w:rsid w:val="009C0A3F"/>
    <w:rsid w:val="009F3ED6"/>
    <w:rsid w:val="00A72043"/>
    <w:rsid w:val="00BC3241"/>
    <w:rsid w:val="00BF35CA"/>
    <w:rsid w:val="00C372DB"/>
    <w:rsid w:val="00C40205"/>
    <w:rsid w:val="00C70B48"/>
    <w:rsid w:val="00CA537C"/>
    <w:rsid w:val="00CE21B1"/>
    <w:rsid w:val="00D36855"/>
    <w:rsid w:val="00D54BF3"/>
    <w:rsid w:val="00D657F1"/>
    <w:rsid w:val="00E00270"/>
    <w:rsid w:val="00EA72C2"/>
    <w:rsid w:val="00EB32B6"/>
    <w:rsid w:val="00EF498F"/>
    <w:rsid w:val="00F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C0A3F"/>
    <w:rPr>
      <w:rFonts w:ascii="Calibri" w:eastAsia="Calibri" w:hAnsi="Calibri" w:cs="Times New Roman"/>
      <w:lang w:val="ru-RU"/>
    </w:rPr>
  </w:style>
  <w:style w:type="paragraph" w:styleId="a6">
    <w:name w:val="footer"/>
    <w:basedOn w:val="a0"/>
    <w:link w:val="a7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customStyle="1" w:styleId="a">
    <w:name w:val="Номер"/>
    <w:basedOn w:val="a0"/>
    <w:uiPriority w:val="2"/>
    <w:qFormat/>
    <w:rsid w:val="00EB32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C0A3F"/>
    <w:rPr>
      <w:rFonts w:ascii="Calibri" w:eastAsia="Calibri" w:hAnsi="Calibri" w:cs="Times New Roman"/>
      <w:lang w:val="ru-RU"/>
    </w:rPr>
  </w:style>
  <w:style w:type="paragraph" w:styleId="a6">
    <w:name w:val="footer"/>
    <w:basedOn w:val="a0"/>
    <w:link w:val="a7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customStyle="1" w:styleId="a">
    <w:name w:val="Номер"/>
    <w:basedOn w:val="a0"/>
    <w:uiPriority w:val="2"/>
    <w:qFormat/>
    <w:rsid w:val="00EB32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92A9-B8CD-47C2-95F7-028B272D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USER</cp:lastModifiedBy>
  <cp:revision>22</cp:revision>
  <cp:lastPrinted>2023-04-07T09:12:00Z</cp:lastPrinted>
  <dcterms:created xsi:type="dcterms:W3CDTF">2022-08-10T10:42:00Z</dcterms:created>
  <dcterms:modified xsi:type="dcterms:W3CDTF">2023-05-24T14:20:00Z</dcterms:modified>
</cp:coreProperties>
</file>