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E52675" w:rsidRPr="00A5011D" w:rsidRDefault="00E52675" w:rsidP="000247E2">
      <w:pPr>
        <w:widowControl w:val="0"/>
        <w:spacing w:line="240" w:lineRule="auto"/>
        <w:ind w:firstLine="5954"/>
        <w:contextualSpacing/>
        <w:rPr>
          <w:rFonts w:ascii="Times New Roman" w:hAnsi="Times New Roman" w:cs="Times New Roman"/>
          <w:color w:val="000000"/>
        </w:rPr>
      </w:pPr>
    </w:p>
    <w:p w:rsidR="00E52675" w:rsidRPr="00A5011D" w:rsidRDefault="00E52675" w:rsidP="00E52675">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 xml:space="preserve">ПЕРЕЛІК ДОКУМЕНТІВ, ЯКІ ВИМАГАЮТЬСЯ ДЛЯ </w:t>
      </w:r>
      <w:proofErr w:type="gramStart"/>
      <w:r w:rsidRPr="00A5011D">
        <w:rPr>
          <w:rFonts w:ascii="Times New Roman" w:eastAsia="Times New Roman" w:hAnsi="Times New Roman" w:cs="Times New Roman"/>
          <w:b/>
          <w:bCs/>
        </w:rPr>
        <w:t>П</w:t>
      </w:r>
      <w:proofErr w:type="gramEnd"/>
      <w:r w:rsidRPr="00A5011D">
        <w:rPr>
          <w:rFonts w:ascii="Times New Roman" w:eastAsia="Times New Roman" w:hAnsi="Times New Roman" w:cs="Times New Roman"/>
          <w:b/>
          <w:bCs/>
        </w:rPr>
        <w:t>ІДТВЕРДЖЕННЯ ВІДПОВІДНОСТІ ПРОПОЗИЦІЇ УЧАСНИКА КВАЛІФІКАЦІЙНИМ ТА ІНШИМ ВИМОГАМ ЗАМОВНИКА</w:t>
      </w:r>
    </w:p>
    <w:p w:rsidR="00E52675" w:rsidRPr="00304622" w:rsidRDefault="00E52675" w:rsidP="00E52675">
      <w:pPr>
        <w:spacing w:after="0" w:line="240" w:lineRule="auto"/>
        <w:jc w:val="both"/>
        <w:rPr>
          <w:rFonts w:ascii="Times New Roman" w:hAnsi="Times New Roman" w:cs="Times New Roman"/>
          <w:i/>
          <w:highlight w:val="green"/>
          <w:shd w:val="solid" w:color="FFFFFF" w:fill="FFFFFF"/>
          <w:lang w:val="uk-UA" w:eastAsia="en-US"/>
        </w:rPr>
      </w:pPr>
    </w:p>
    <w:p w:rsidR="00E52675" w:rsidRDefault="00E52675" w:rsidP="00E52675">
      <w:pPr>
        <w:spacing w:after="0" w:line="240" w:lineRule="auto"/>
        <w:rPr>
          <w:rFonts w:ascii="Times New Roman" w:eastAsia="Times New Roman" w:hAnsi="Times New Roman" w:cs="Times New Roman"/>
          <w:b/>
        </w:rPr>
      </w:pPr>
    </w:p>
    <w:p w:rsidR="00E52675" w:rsidRPr="00A5011D" w:rsidRDefault="00E52675" w:rsidP="00E52675">
      <w:pPr>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E52675" w:rsidRPr="00A5011D" w:rsidRDefault="00E52675" w:rsidP="00E52675">
      <w:pPr>
        <w:suppressAutoHyphens/>
        <w:spacing w:after="0" w:line="240" w:lineRule="auto"/>
        <w:contextualSpacing/>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E52675" w:rsidRPr="00A5011D" w:rsidTr="00127F09">
        <w:trPr>
          <w:trHeight w:val="88"/>
        </w:trPr>
        <w:tc>
          <w:tcPr>
            <w:tcW w:w="417" w:type="dxa"/>
            <w:shd w:val="clear" w:color="auto" w:fill="auto"/>
          </w:tcPr>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rPr>
              <w:t>№</w:t>
            </w:r>
          </w:p>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p>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p>
        </w:tc>
        <w:tc>
          <w:tcPr>
            <w:tcW w:w="3260" w:type="dxa"/>
            <w:shd w:val="clear" w:color="auto" w:fill="auto"/>
          </w:tcPr>
          <w:p w:rsidR="00E52675" w:rsidRPr="00A5011D" w:rsidRDefault="00E52675" w:rsidP="00127F09">
            <w:pPr>
              <w:tabs>
                <w:tab w:val="left" w:pos="284"/>
              </w:tabs>
              <w:suppressAutoHyphens/>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Кваліфікаційні</w:t>
            </w:r>
          </w:p>
          <w:p w:rsidR="00E52675" w:rsidRPr="00A5011D" w:rsidRDefault="00E52675" w:rsidP="00127F09">
            <w:pPr>
              <w:tabs>
                <w:tab w:val="left" w:pos="284"/>
              </w:tabs>
              <w:suppressAutoHyphens/>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критерії та</w:t>
            </w:r>
          </w:p>
          <w:p w:rsidR="00E52675" w:rsidRPr="00A5011D" w:rsidRDefault="00E52675" w:rsidP="00127F09">
            <w:pPr>
              <w:tabs>
                <w:tab w:val="left" w:pos="284"/>
              </w:tabs>
              <w:suppressAutoHyphens/>
              <w:spacing w:after="0" w:line="240" w:lineRule="auto"/>
              <w:jc w:val="center"/>
              <w:rPr>
                <w:rFonts w:ascii="Times New Roman" w:eastAsia="Times New Roman" w:hAnsi="Times New Roman" w:cs="Times New Roman"/>
                <w:b/>
                <w:bCs/>
                <w:color w:val="000000"/>
              </w:rPr>
            </w:pPr>
            <w:r w:rsidRPr="00A5011D">
              <w:rPr>
                <w:rFonts w:ascii="Times New Roman" w:eastAsia="Times New Roman" w:hAnsi="Times New Roman" w:cs="Times New Roman"/>
                <w:b/>
              </w:rPr>
              <w:t>вимоги</w:t>
            </w:r>
          </w:p>
        </w:tc>
        <w:tc>
          <w:tcPr>
            <w:tcW w:w="6813" w:type="dxa"/>
            <w:shd w:val="clear" w:color="auto" w:fill="auto"/>
          </w:tcPr>
          <w:p w:rsidR="00E52675" w:rsidRPr="00A5011D" w:rsidRDefault="00E52675" w:rsidP="00127F09">
            <w:pPr>
              <w:tabs>
                <w:tab w:val="left" w:pos="253"/>
              </w:tabs>
              <w:suppressAutoHyphens/>
              <w:spacing w:after="0" w:line="240" w:lineRule="auto"/>
              <w:ind w:left="34" w:right="22"/>
              <w:jc w:val="center"/>
              <w:rPr>
                <w:rFonts w:ascii="Times New Roman" w:eastAsia="Times New Roman" w:hAnsi="Times New Roman" w:cs="Times New Roman"/>
                <w:b/>
                <w:bCs/>
                <w:color w:val="000000"/>
              </w:rPr>
            </w:pPr>
            <w:r w:rsidRPr="00A5011D">
              <w:rPr>
                <w:rFonts w:ascii="Times New Roman" w:eastAsia="Times New Roman" w:hAnsi="Times New Roman" w:cs="Times New Roman"/>
                <w:b/>
                <w:bCs/>
                <w:color w:val="000000"/>
              </w:rPr>
              <w:t>Перелік документів</w:t>
            </w:r>
          </w:p>
        </w:tc>
      </w:tr>
      <w:tr w:rsidR="00E52675" w:rsidRPr="00A5011D" w:rsidTr="00127F09">
        <w:trPr>
          <w:trHeight w:val="88"/>
        </w:trPr>
        <w:tc>
          <w:tcPr>
            <w:tcW w:w="417" w:type="dxa"/>
            <w:shd w:val="clear" w:color="auto" w:fill="auto"/>
          </w:tcPr>
          <w:p w:rsidR="00E52675" w:rsidRPr="00A5011D" w:rsidRDefault="00E52675" w:rsidP="00127F09">
            <w:pPr>
              <w:tabs>
                <w:tab w:val="left" w:pos="70"/>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rPr>
              <w:t>1.</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наявність в учасника процедури закупівлі обладнання, матеріально-технічної бази та технологій</w:t>
            </w:r>
          </w:p>
        </w:tc>
        <w:tc>
          <w:tcPr>
            <w:tcW w:w="6813" w:type="dxa"/>
            <w:shd w:val="clear" w:color="auto" w:fill="auto"/>
          </w:tcPr>
          <w:p w:rsidR="00E52675" w:rsidRPr="00A5011D" w:rsidRDefault="00E52675" w:rsidP="00127F09">
            <w:pPr>
              <w:pStyle w:val="a6"/>
              <w:numPr>
                <w:ilvl w:val="0"/>
                <w:numId w:val="7"/>
              </w:numPr>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E52675" w:rsidRPr="00A5011D" w:rsidRDefault="00E52675" w:rsidP="00127F09">
            <w:pPr>
              <w:spacing w:after="0" w:line="240" w:lineRule="auto"/>
              <w:ind w:left="38" w:firstLine="425"/>
              <w:jc w:val="both"/>
              <w:rPr>
                <w:rFonts w:ascii="Times New Roman" w:hAnsi="Times New Roman" w:cs="Times New Roman"/>
              </w:rPr>
            </w:pPr>
          </w:p>
        </w:tc>
      </w:tr>
      <w:tr w:rsidR="00E52675" w:rsidRPr="00A5011D" w:rsidTr="00127F09">
        <w:trPr>
          <w:trHeight w:val="88"/>
        </w:trPr>
        <w:tc>
          <w:tcPr>
            <w:tcW w:w="417" w:type="dxa"/>
            <w:shd w:val="clear" w:color="auto" w:fill="auto"/>
          </w:tcPr>
          <w:p w:rsidR="00E52675" w:rsidRPr="00A5011D" w:rsidRDefault="00E52675" w:rsidP="00127F09">
            <w:pPr>
              <w:tabs>
                <w:tab w:val="left" w:pos="70"/>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rPr>
              <w:t>2.</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813" w:type="dxa"/>
            <w:shd w:val="clear" w:color="auto" w:fill="auto"/>
          </w:tcPr>
          <w:p w:rsidR="00E52675" w:rsidRPr="00A5011D" w:rsidRDefault="00E52675" w:rsidP="00127F09">
            <w:pPr>
              <w:pStyle w:val="a6"/>
              <w:widowControl w:val="0"/>
              <w:numPr>
                <w:ilvl w:val="0"/>
                <w:numId w:val="8"/>
              </w:numPr>
              <w:tabs>
                <w:tab w:val="left" w:pos="0"/>
              </w:tabs>
              <w:suppressAutoHyphens/>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Довідка про наявність працівників відповідної кваліфікації, які мають необхідні знання та досвід.</w:t>
            </w:r>
          </w:p>
          <w:p w:rsidR="00E52675" w:rsidRPr="00A5011D" w:rsidRDefault="00E52675" w:rsidP="00127F09">
            <w:pPr>
              <w:pStyle w:val="a6"/>
              <w:widowControl w:val="0"/>
              <w:numPr>
                <w:ilvl w:val="0"/>
                <w:numId w:val="8"/>
              </w:numPr>
              <w:tabs>
                <w:tab w:val="left" w:pos="0"/>
              </w:tabs>
              <w:suppressAutoHyphens/>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прийняття на роботу)/інший документ).</w:t>
            </w:r>
          </w:p>
          <w:p w:rsidR="00E52675" w:rsidRPr="00A5011D" w:rsidRDefault="00E52675" w:rsidP="00127F09">
            <w:pPr>
              <w:pStyle w:val="a6"/>
              <w:widowControl w:val="0"/>
              <w:tabs>
                <w:tab w:val="left" w:pos="0"/>
              </w:tabs>
              <w:suppressAutoHyphens/>
              <w:spacing w:after="0" w:line="240" w:lineRule="auto"/>
              <w:ind w:left="38" w:firstLine="425"/>
              <w:jc w:val="both"/>
              <w:rPr>
                <w:rFonts w:ascii="Times New Roman" w:hAnsi="Times New Roman"/>
                <w:color w:val="00000A"/>
                <w:shd w:val="clear" w:color="auto" w:fill="FFFFFF"/>
              </w:rPr>
            </w:pPr>
          </w:p>
        </w:tc>
      </w:tr>
      <w:tr w:rsidR="00E52675" w:rsidRPr="00A5011D" w:rsidTr="00127F09">
        <w:trPr>
          <w:trHeight w:val="88"/>
        </w:trPr>
        <w:tc>
          <w:tcPr>
            <w:tcW w:w="417" w:type="dxa"/>
            <w:shd w:val="clear" w:color="auto" w:fill="auto"/>
          </w:tcPr>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bCs/>
                <w:color w:val="000000"/>
              </w:rPr>
              <w:t>3.</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rPr>
            </w:pPr>
            <w:r w:rsidRPr="00A5011D">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E52675" w:rsidRPr="00A5011D" w:rsidRDefault="00E52675" w:rsidP="00127F09">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 xml:space="preserve">1) Довідка </w:t>
            </w:r>
            <w:proofErr w:type="gramStart"/>
            <w:r w:rsidRPr="00A5011D">
              <w:rPr>
                <w:rFonts w:ascii="Times New Roman" w:hAnsi="Times New Roman" w:cs="Times New Roman"/>
              </w:rPr>
              <w:t>у дов</w:t>
            </w:r>
            <w:proofErr w:type="gramEnd"/>
            <w:r w:rsidRPr="00A5011D">
              <w:rPr>
                <w:rFonts w:ascii="Times New Roman" w:hAnsi="Times New Roman" w:cs="Times New Roman"/>
              </w:rPr>
              <w:t xml:space="preserve">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E52675" w:rsidRPr="00DB3485" w:rsidRDefault="00E52675" w:rsidP="00127F09">
            <w:pPr>
              <w:pStyle w:val="a6"/>
              <w:numPr>
                <w:ilvl w:val="0"/>
                <w:numId w:val="7"/>
              </w:numPr>
              <w:suppressAutoHyphens/>
              <w:spacing w:after="160" w:line="252" w:lineRule="auto"/>
              <w:ind w:left="38" w:firstLine="425"/>
              <w:jc w:val="both"/>
              <w:rPr>
                <w:rFonts w:ascii="Times New Roman" w:eastAsia="Times New Roman" w:hAnsi="Times New Roman"/>
                <w:lang w:val="uk-UA" w:eastAsia="ru-RU"/>
              </w:rPr>
            </w:pPr>
            <w:r w:rsidRPr="00DB3485">
              <w:rPr>
                <w:rFonts w:ascii="Times New Roman" w:eastAsia="Times New Roman" w:hAnsi="Times New Roman"/>
                <w:lang w:val="uk-UA"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52675" w:rsidRPr="00A5011D" w:rsidRDefault="00E52675" w:rsidP="00127F09">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w:t>
            </w:r>
            <w:proofErr w:type="gramStart"/>
            <w:r w:rsidRPr="00A5011D">
              <w:rPr>
                <w:rFonts w:ascii="Times New Roman" w:eastAsia="Times New Roman" w:hAnsi="Times New Roman"/>
                <w:lang w:eastAsia="ru-RU"/>
              </w:rPr>
              <w:t>я(</w:t>
            </w:r>
            <w:proofErr w:type="gramEnd"/>
            <w:r w:rsidRPr="00A5011D">
              <w:rPr>
                <w:rFonts w:ascii="Times New Roman" w:eastAsia="Times New Roman" w:hAnsi="Times New Roman"/>
                <w:lang w:eastAsia="ru-RU"/>
              </w:rPr>
              <w:t>ї) документа(ів) на підтвердження виконання не менше ніж одного договору, зазначеного в наданій Учасником довідці</w:t>
            </w:r>
          </w:p>
          <w:p w:rsidR="00E52675" w:rsidRPr="00A5011D" w:rsidRDefault="00E52675" w:rsidP="00127F09">
            <w:pPr>
              <w:suppressAutoHyphens/>
              <w:spacing w:after="160" w:line="252" w:lineRule="auto"/>
              <w:ind w:left="38" w:firstLine="425"/>
              <w:jc w:val="both"/>
              <w:rPr>
                <w:rFonts w:ascii="Times New Roman" w:eastAsia="Times New Roman" w:hAnsi="Times New Roman" w:cs="Times New Roman"/>
              </w:rPr>
            </w:pPr>
          </w:p>
        </w:tc>
      </w:tr>
      <w:tr w:rsidR="00E52675" w:rsidRPr="00A5011D" w:rsidTr="00127F09">
        <w:trPr>
          <w:trHeight w:val="88"/>
        </w:trPr>
        <w:tc>
          <w:tcPr>
            <w:tcW w:w="417" w:type="dxa"/>
            <w:shd w:val="clear" w:color="auto" w:fill="auto"/>
          </w:tcPr>
          <w:p w:rsidR="00E52675" w:rsidRPr="00A5011D" w:rsidRDefault="00E52675" w:rsidP="00127F09">
            <w:pPr>
              <w:tabs>
                <w:tab w:val="left" w:pos="284"/>
              </w:tabs>
              <w:suppressAutoHyphens/>
              <w:spacing w:after="0" w:line="240" w:lineRule="auto"/>
              <w:rPr>
                <w:rFonts w:ascii="Times New Roman" w:eastAsia="Times New Roman" w:hAnsi="Times New Roman" w:cs="Times New Roman"/>
                <w:b/>
                <w:bCs/>
                <w:color w:val="000000"/>
              </w:rPr>
            </w:pPr>
            <w:r w:rsidRPr="00A5011D">
              <w:rPr>
                <w:rFonts w:ascii="Times New Roman" w:eastAsia="Times New Roman" w:hAnsi="Times New Roman" w:cs="Times New Roman"/>
                <w:b/>
                <w:bCs/>
                <w:color w:val="000000"/>
              </w:rPr>
              <w:t>4</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Наявність фінансової спроможності*</w:t>
            </w:r>
          </w:p>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 xml:space="preserve">* Замовник не  вимагає надання </w:t>
            </w:r>
            <w:proofErr w:type="gramStart"/>
            <w:r w:rsidRPr="00A5011D">
              <w:rPr>
                <w:rFonts w:ascii="Times New Roman" w:eastAsia="Times New Roman" w:hAnsi="Times New Roman" w:cs="Times New Roman"/>
                <w:b/>
              </w:rPr>
              <w:t>п</w:t>
            </w:r>
            <w:proofErr w:type="gramEnd"/>
            <w:r w:rsidRPr="00A5011D">
              <w:rPr>
                <w:rFonts w:ascii="Times New Roman" w:eastAsia="Times New Roman" w:hAnsi="Times New Roman" w:cs="Times New Roman"/>
                <w:b/>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p>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i/>
              </w:rPr>
            </w:pPr>
            <w:r w:rsidRPr="00A5011D">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E52675" w:rsidRPr="00A5011D" w:rsidRDefault="00E52675" w:rsidP="00127F09">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lastRenderedPageBreak/>
              <w:t xml:space="preserve"> ___________________ (замовник самостійно визначає спосіб документального підтвердження відповідності цьому кваліфікаційному критерію)</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445AE9" w:rsidRPr="00AE57F1" w:rsidRDefault="00445AE9" w:rsidP="00445AE9">
      <w:pPr>
        <w:pStyle w:val="Default"/>
        <w:jc w:val="center"/>
        <w:rPr>
          <w:rFonts w:eastAsia="Times New Roman"/>
          <w:b/>
          <w:sz w:val="22"/>
          <w:szCs w:val="22"/>
        </w:rPr>
      </w:pPr>
      <w:r w:rsidRPr="00AE57F1">
        <w:rPr>
          <w:rFonts w:eastAsia="Times New Roman"/>
          <w:b/>
          <w:sz w:val="22"/>
          <w:szCs w:val="22"/>
        </w:rPr>
        <w:t>Таблиця 2. Документи для підтвердження відсутності підстав відмови в участі в процедурі закупівлі згідно із п.44 Особливостей</w:t>
      </w:r>
    </w:p>
    <w:p w:rsidR="00445AE9" w:rsidRPr="00AE57F1" w:rsidRDefault="00445AE9" w:rsidP="00445AE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tblPr>
      <w:tblGrid>
        <w:gridCol w:w="10348"/>
      </w:tblGrid>
      <w:tr w:rsidR="00445AE9" w:rsidRPr="00AE57F1" w:rsidTr="00BD611E">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ad"/>
              <w:widowControl w:val="0"/>
              <w:ind w:firstLine="600"/>
              <w:jc w:val="both"/>
              <w:rPr>
                <w:rFonts w:ascii="Times New Roman" w:hAnsi="Times New Roman"/>
                <w:sz w:val="22"/>
                <w:szCs w:val="28"/>
              </w:rPr>
            </w:pPr>
            <w:r w:rsidRPr="00AE57F1">
              <w:rPr>
                <w:rFonts w:ascii="Times New Roman" w:hAnsi="Times New Roman"/>
                <w:sz w:val="22"/>
                <w:szCs w:val="28"/>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E57F1">
              <w:rPr>
                <w:rFonts w:ascii="Times New Roman" w:hAnsi="Times New Roman"/>
                <w:sz w:val="22"/>
                <w:szCs w:val="28"/>
              </w:rPr>
              <w:br/>
              <w:t>20 млн. гривень (у тому числі за лотом);</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AE57F1">
              <w:rPr>
                <w:rFonts w:ascii="Times New Roman" w:hAnsi="Times New Roman"/>
                <w:sz w:val="22"/>
                <w:szCs w:val="28"/>
              </w:rPr>
              <w:lastRenderedPageBreak/>
              <w:t>заборони на здійснення у неї публічних закупівель товарів, робіт і послуг згідно із Законом України “Про санкції”;</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i/>
                <w:sz w:val="22"/>
                <w:szCs w:val="28"/>
              </w:rPr>
              <w:t>Абз.14 пункту 44 Особливостей:</w:t>
            </w:r>
            <w:r w:rsidRPr="00AE57F1">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5AE9" w:rsidRPr="00AE57F1" w:rsidRDefault="00445AE9" w:rsidP="00BD611E">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45AE9" w:rsidRPr="00AE57F1" w:rsidTr="00BD611E">
        <w:trPr>
          <w:trHeight w:val="1025"/>
        </w:trPr>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150" w:afterAutospacing="0"/>
              <w:ind w:firstLine="450"/>
              <w:jc w:val="both"/>
              <w:rPr>
                <w:sz w:val="22"/>
                <w:szCs w:val="22"/>
              </w:rPr>
            </w:pPr>
            <w:r w:rsidRPr="00AE57F1">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AE57F1">
                <w:rPr>
                  <w:rStyle w:val="a5"/>
                  <w:sz w:val="22"/>
                  <w:szCs w:val="22"/>
                </w:rPr>
                <w:t>Законом України</w:t>
              </w:r>
            </w:hyperlink>
            <w:r w:rsidRPr="00AE57F1">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45AE9" w:rsidRPr="00AE57F1" w:rsidTr="00BD611E">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ad"/>
              <w:widowControl w:val="0"/>
              <w:ind w:firstLine="458"/>
              <w:jc w:val="both"/>
              <w:rPr>
                <w:rFonts w:ascii="Times New Roman" w:hAnsi="Times New Roman"/>
                <w:sz w:val="22"/>
                <w:szCs w:val="28"/>
              </w:rPr>
            </w:pPr>
            <w:r w:rsidRPr="00AE57F1">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AE57F1">
              <w:rPr>
                <w:rFonts w:ascii="Times New Roman" w:hAnsi="Times New Roman"/>
                <w:b/>
                <w:sz w:val="22"/>
                <w:szCs w:val="28"/>
              </w:rPr>
              <w:t>самостійного декларування</w:t>
            </w:r>
            <w:r w:rsidRPr="00AE57F1">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45AE9" w:rsidRPr="00AE57F1" w:rsidRDefault="00445AE9" w:rsidP="00BD611E">
            <w:pPr>
              <w:pStyle w:val="ad"/>
              <w:widowControl w:val="0"/>
              <w:ind w:firstLine="458"/>
              <w:jc w:val="both"/>
              <w:rPr>
                <w:rFonts w:ascii="Times New Roman" w:hAnsi="Times New Roman"/>
                <w:sz w:val="22"/>
                <w:szCs w:val="28"/>
              </w:rPr>
            </w:pPr>
            <w:r w:rsidRPr="00AE57F1">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45AE9" w:rsidRPr="00AE57F1" w:rsidRDefault="00445AE9" w:rsidP="00BD611E">
            <w:pPr>
              <w:pStyle w:val="rvps2"/>
              <w:spacing w:after="150"/>
              <w:ind w:firstLine="450"/>
              <w:jc w:val="both"/>
              <w:rPr>
                <w:sz w:val="22"/>
                <w:szCs w:val="22"/>
              </w:rPr>
            </w:pPr>
            <w:r w:rsidRPr="00AE57F1">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45AE9" w:rsidRPr="00AE57F1" w:rsidTr="00BD611E">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150" w:afterAutospacing="0"/>
              <w:ind w:firstLine="450"/>
              <w:jc w:val="both"/>
              <w:rPr>
                <w:sz w:val="22"/>
                <w:szCs w:val="22"/>
              </w:rPr>
            </w:pPr>
            <w:r w:rsidRPr="00AE57F1">
              <w:rPr>
                <w:sz w:val="22"/>
                <w:szCs w:val="22"/>
              </w:rPr>
              <w:t>4. У випадку якщо учасником процедури закупі</w:t>
            </w:r>
            <w:proofErr w:type="gramStart"/>
            <w:r w:rsidRPr="00AE57F1">
              <w:rPr>
                <w:sz w:val="22"/>
                <w:szCs w:val="22"/>
              </w:rPr>
              <w:t>вл</w:t>
            </w:r>
            <w:proofErr w:type="gramEnd"/>
            <w:r w:rsidRPr="00AE57F1">
              <w:rPr>
                <w:sz w:val="22"/>
                <w:szCs w:val="22"/>
              </w:rPr>
              <w:t>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(п. 1,3 цієї таблиці).</w:t>
            </w:r>
          </w:p>
        </w:tc>
      </w:tr>
    </w:tbl>
    <w:p w:rsidR="00445AE9" w:rsidRPr="00AE57F1" w:rsidRDefault="00445AE9" w:rsidP="00445AE9">
      <w:pPr>
        <w:spacing w:after="0" w:line="240" w:lineRule="auto"/>
        <w:jc w:val="center"/>
        <w:rPr>
          <w:rFonts w:ascii="Times New Roman" w:eastAsia="Times New Roman" w:hAnsi="Times New Roman" w:cs="Times New Roman"/>
          <w:b/>
          <w:color w:val="000000"/>
          <w:u w:val="single"/>
        </w:rPr>
      </w:pPr>
    </w:p>
    <w:p w:rsidR="00445AE9" w:rsidRPr="00AE57F1" w:rsidRDefault="00445AE9" w:rsidP="00445AE9">
      <w:pPr>
        <w:spacing w:after="0" w:line="240" w:lineRule="auto"/>
        <w:jc w:val="center"/>
        <w:rPr>
          <w:rFonts w:ascii="Times New Roman" w:eastAsia="Times New Roman" w:hAnsi="Times New Roman" w:cs="Times New Roman"/>
          <w:b/>
          <w:color w:val="000000"/>
          <w:u w:val="single"/>
        </w:rPr>
      </w:pPr>
    </w:p>
    <w:p w:rsidR="00445AE9" w:rsidRPr="00AE57F1" w:rsidRDefault="00445AE9" w:rsidP="00445AE9">
      <w:pPr>
        <w:spacing w:after="0" w:line="240" w:lineRule="auto"/>
        <w:jc w:val="center"/>
        <w:rPr>
          <w:rFonts w:ascii="Times New Roman" w:hAnsi="Times New Roman" w:cs="Times New Roman"/>
          <w:b/>
          <w:u w:val="single"/>
        </w:rPr>
      </w:pPr>
      <w:r w:rsidRPr="00AE57F1">
        <w:rPr>
          <w:rFonts w:ascii="Times New Roman" w:eastAsia="Times New Roman" w:hAnsi="Times New Roman" w:cs="Times New Roman"/>
          <w:b/>
          <w:color w:val="000000"/>
          <w:u w:val="single"/>
        </w:rPr>
        <w:br w:type="page"/>
      </w:r>
      <w:r w:rsidRPr="00AE57F1">
        <w:rPr>
          <w:rFonts w:ascii="Times New Roman" w:hAnsi="Times New Roman" w:cs="Times New Roman"/>
          <w:b/>
          <w:u w:val="single"/>
        </w:rPr>
        <w:lastRenderedPageBreak/>
        <w:t xml:space="preserve">Таблиця 3. </w:t>
      </w:r>
    </w:p>
    <w:p w:rsidR="00445AE9" w:rsidRPr="00AE57F1" w:rsidRDefault="00445AE9" w:rsidP="00445A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45AE9" w:rsidRPr="00AE57F1" w:rsidRDefault="00445AE9" w:rsidP="00445AE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E57F1">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E57F1">
        <w:rPr>
          <w:rFonts w:ascii="Times New Roman" w:hAnsi="Times New Roman" w:cs="Times New Roman"/>
          <w:b/>
          <w:color w:val="000000" w:themeColor="text1"/>
          <w:shd w:val="solid" w:color="FFFFFF" w:fill="FFFFFF"/>
          <w:lang w:eastAsia="en-US"/>
        </w:rPr>
        <w:t>чотири дні</w:t>
      </w:r>
      <w:r w:rsidRPr="00AE57F1">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45AE9" w:rsidRPr="00AE57F1" w:rsidRDefault="00445AE9" w:rsidP="00445AE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E57F1">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E57F1">
        <w:rPr>
          <w:rFonts w:ascii="Times New Roman" w:hAnsi="Times New Roman" w:cs="Times New Roman"/>
          <w:b/>
          <w:i/>
          <w:color w:val="000000" w:themeColor="text1"/>
          <w:shd w:val="solid" w:color="FFFFFF" w:fill="FFFFFF"/>
          <w:lang w:eastAsia="en-US"/>
        </w:rPr>
        <w:t>крім випадків</w:t>
      </w:r>
      <w:r w:rsidRPr="00AE57F1">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AE57F1">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AE57F1">
        <w:rPr>
          <w:rFonts w:ascii="Times New Roman" w:hAnsi="Times New Roman" w:cs="Times New Roman"/>
          <w:i/>
          <w:color w:val="000000"/>
        </w:rPr>
        <w:t xml:space="preserve">Доступ до Єдиного державного реєстру </w:t>
      </w:r>
      <w:hyperlink r:id="rId9" w:history="1">
        <w:r w:rsidRPr="00AE57F1">
          <w:rPr>
            <w:rFonts w:ascii="Times New Roman" w:hAnsi="Times New Roman" w:cs="Times New Roman"/>
            <w:i/>
            <w:color w:val="000000"/>
          </w:rPr>
          <w:t>осіб, які вчинили корупційні або пов’язані з корупцією правопорушення</w:t>
        </w:r>
      </w:hyperlink>
      <w:r w:rsidRPr="00AE57F1">
        <w:rPr>
          <w:rFonts w:ascii="Times New Roman" w:hAnsi="Times New Roman" w:cs="Times New Roman"/>
          <w:i/>
          <w:color w:val="000000"/>
        </w:rPr>
        <w:t xml:space="preserve"> (</w:t>
      </w:r>
      <w:hyperlink r:id="rId10" w:history="1">
        <w:r w:rsidRPr="00AE57F1">
          <w:rPr>
            <w:rStyle w:val="a5"/>
            <w:rFonts w:ascii="Times New Roman" w:hAnsi="Times New Roman"/>
            <w:i/>
          </w:rPr>
          <w:t>https://corruptinfo.nazk.gov.ua</w:t>
        </w:r>
      </w:hyperlink>
      <w:r w:rsidRPr="00AE57F1">
        <w:rPr>
          <w:rFonts w:ascii="Times New Roman" w:hAnsi="Times New Roman" w:cs="Times New Roman"/>
          <w:i/>
          <w:color w:val="000000"/>
        </w:rPr>
        <w:t xml:space="preserve">) припинений згідно із наказом </w:t>
      </w:r>
      <w:r w:rsidRPr="00AE57F1">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AE57F1">
        <w:rPr>
          <w:rFonts w:ascii="Times New Roman" w:hAnsi="Times New Roman" w:cs="Times New Roman"/>
          <w:i/>
          <w:color w:val="000000"/>
        </w:rPr>
        <w:t>.</w:t>
      </w:r>
    </w:p>
    <w:p w:rsidR="00445AE9" w:rsidRPr="00AE57F1" w:rsidRDefault="00445AE9" w:rsidP="00445AE9">
      <w:pPr>
        <w:pStyle w:val="Default"/>
        <w:jc w:val="center"/>
        <w:rPr>
          <w:rFonts w:eastAsia="Times New Roman"/>
          <w:b/>
          <w:sz w:val="22"/>
          <w:szCs w:val="22"/>
        </w:rPr>
      </w:pPr>
    </w:p>
    <w:tbl>
      <w:tblPr>
        <w:tblW w:w="9639" w:type="dxa"/>
        <w:tblInd w:w="108" w:type="dxa"/>
        <w:tblLayout w:type="fixed"/>
        <w:tblLook w:val="0000"/>
      </w:tblPr>
      <w:tblGrid>
        <w:gridCol w:w="567"/>
        <w:gridCol w:w="3969"/>
        <w:gridCol w:w="5103"/>
      </w:tblGrid>
      <w:tr w:rsidR="00445AE9" w:rsidRPr="00AE57F1" w:rsidTr="00BD611E">
        <w:trPr>
          <w:trHeight w:val="834"/>
        </w:trPr>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before="100" w:beforeAutospacing="1" w:after="100" w:afterAutospacing="1" w:line="240" w:lineRule="auto"/>
              <w:jc w:val="both"/>
              <w:rPr>
                <w:rFonts w:ascii="Times New Roman" w:eastAsia="Times New Roman" w:hAnsi="Times New Roman" w:cs="Times New Roman"/>
                <w:b/>
              </w:rPr>
            </w:pPr>
            <w:r w:rsidRPr="00AE57F1">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before="100" w:beforeAutospacing="1" w:after="100" w:afterAutospacing="1" w:line="240" w:lineRule="auto"/>
              <w:jc w:val="both"/>
              <w:rPr>
                <w:rFonts w:ascii="Times New Roman" w:eastAsia="Times New Roman" w:hAnsi="Times New Roman" w:cs="Times New Roman"/>
                <w:b/>
              </w:rPr>
            </w:pPr>
            <w:r w:rsidRPr="00AE57F1">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tLeast"/>
              <w:jc w:val="both"/>
              <w:rPr>
                <w:rFonts w:ascii="Times New Roman" w:eastAsia="Times New Roman" w:hAnsi="Times New Roman" w:cs="Times New Roman"/>
                <w:b/>
                <w:kern w:val="2"/>
                <w:lang w:eastAsia="ar-SA"/>
              </w:rPr>
            </w:pPr>
          </w:p>
          <w:p w:rsidR="00445AE9" w:rsidRPr="00AE57F1" w:rsidRDefault="00445AE9" w:rsidP="00BD611E">
            <w:pPr>
              <w:spacing w:after="0" w:line="240" w:lineRule="atLeast"/>
              <w:jc w:val="both"/>
              <w:rPr>
                <w:rFonts w:ascii="Times New Roman" w:eastAsia="Times New Roman" w:hAnsi="Times New Roman" w:cs="Times New Roman"/>
              </w:rPr>
            </w:pPr>
            <w:r w:rsidRPr="00AE57F1">
              <w:rPr>
                <w:rFonts w:ascii="Times New Roman" w:eastAsia="Times New Roman" w:hAnsi="Times New Roman" w:cs="Times New Roman"/>
                <w:b/>
                <w:kern w:val="2"/>
                <w:lang w:eastAsia="ar-SA"/>
              </w:rPr>
              <w:t xml:space="preserve">Спосіб надання </w:t>
            </w:r>
            <w:r w:rsidRPr="00AE57F1">
              <w:rPr>
                <w:rFonts w:ascii="Times New Roman" w:eastAsia="Times New Roman" w:hAnsi="Times New Roman" w:cs="Times New Roman"/>
                <w:b/>
                <w:kern w:val="2"/>
                <w:u w:val="single"/>
                <w:lang w:eastAsia="ar-SA"/>
              </w:rPr>
              <w:t>учасником-переможцем</w:t>
            </w:r>
            <w:r w:rsidRPr="00AE57F1">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rPr>
                <w:rFonts w:ascii="Times New Roman" w:eastAsia="Times New Roman" w:hAnsi="Times New Roman" w:cs="Times New Roman"/>
                <w:b/>
              </w:rPr>
            </w:pPr>
            <w:r w:rsidRPr="00AE57F1">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керівника учасника процедури закупі</w:t>
            </w:r>
            <w:proofErr w:type="gramStart"/>
            <w:r w:rsidRPr="00AE57F1">
              <w:rPr>
                <w:rFonts w:ascii="Times New Roman" w:hAnsi="Times New Roman" w:cs="Times New Roman"/>
                <w:b/>
              </w:rPr>
              <w:t>вл</w:t>
            </w:r>
            <w:proofErr w:type="gramEnd"/>
            <w:r w:rsidRPr="00AE57F1">
              <w:rPr>
                <w:rFonts w:ascii="Times New Roman" w:hAnsi="Times New Roman" w:cs="Times New Roman"/>
                <w:b/>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eastAsia="Times New Roman" w:hAnsi="Times New Roman" w:cs="Times New Roman"/>
                <w:b/>
              </w:rPr>
              <w:t>(підстава згідно з підпунктом 3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або</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E57F1">
              <w:rPr>
                <w:rFonts w:ascii="Times New Roman" w:hAnsi="Times New Roman" w:cs="Times New Roman"/>
                <w:b/>
              </w:rPr>
              <w:t xml:space="preserve">(підстава згідно з </w:t>
            </w:r>
            <w:r w:rsidRPr="00AE57F1">
              <w:rPr>
                <w:rFonts w:ascii="Times New Roman" w:hAnsi="Times New Roman" w:cs="Times New Roman"/>
                <w:b/>
              </w:rPr>
              <w:lastRenderedPageBreak/>
              <w:t>підпунктом 5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 xml:space="preserve">Документ має бути оформлений не більше 30 денної давнини відносно дати його подання </w:t>
            </w:r>
            <w:r w:rsidRPr="00AE57F1">
              <w:rPr>
                <w:rFonts w:ascii="Times New Roman" w:hAnsi="Times New Roman" w:cs="Times New Roman"/>
              </w:rPr>
              <w:lastRenderedPageBreak/>
              <w:t>Замовнику.</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after="0" w:line="240" w:lineRule="auto"/>
              <w:jc w:val="both"/>
              <w:rPr>
                <w:rFonts w:ascii="Times New Roman" w:eastAsia="Times New Roman" w:hAnsi="Times New Roman" w:cs="Times New Roman"/>
                <w:b/>
              </w:rPr>
            </w:pPr>
            <w:r w:rsidRPr="00AE57F1">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(підстава згідно з підпунктом 6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Витяг з інформаційно-аналітичної системи «</w:t>
            </w:r>
            <w:proofErr w:type="gramStart"/>
            <w:r w:rsidRPr="00AE57F1">
              <w:rPr>
                <w:rFonts w:ascii="Times New Roman" w:hAnsi="Times New Roman" w:cs="Times New Roman"/>
              </w:rPr>
              <w:t>Обл</w:t>
            </w:r>
            <w:proofErr w:type="gramEnd"/>
            <w:r w:rsidRPr="00AE57F1">
              <w:rPr>
                <w:rFonts w:ascii="Times New Roman" w:hAnsi="Times New Roman" w:cs="Times New Roman"/>
              </w:rPr>
              <w:t>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4.</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after="0" w:line="240" w:lineRule="auto"/>
              <w:jc w:val="both"/>
              <w:rPr>
                <w:rFonts w:ascii="Times New Roman" w:eastAsia="Times New Roman" w:hAnsi="Times New Roman" w:cs="Times New Roman"/>
                <w:b/>
              </w:rPr>
            </w:pPr>
            <w:r w:rsidRPr="00AE57F1">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(підстава згідно з підпунктом 12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0" w:afterAutospacing="0"/>
              <w:jc w:val="both"/>
              <w:rPr>
                <w:sz w:val="22"/>
                <w:szCs w:val="22"/>
              </w:rPr>
            </w:pPr>
            <w:r w:rsidRPr="00AE57F1">
              <w:rPr>
                <w:sz w:val="22"/>
                <w:szCs w:val="22"/>
              </w:rPr>
              <w:t>Витяг з інформаційно-аналітичної системи «</w:t>
            </w:r>
            <w:proofErr w:type="gramStart"/>
            <w:r w:rsidRPr="00AE57F1">
              <w:rPr>
                <w:sz w:val="22"/>
                <w:szCs w:val="22"/>
              </w:rPr>
              <w:t>Обл</w:t>
            </w:r>
            <w:proofErr w:type="gramEnd"/>
            <w:r w:rsidRPr="00AE57F1">
              <w:rPr>
                <w:sz w:val="22"/>
                <w:szCs w:val="22"/>
              </w:rPr>
              <w:t xml:space="preserve">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445AE9" w:rsidRPr="00AE57F1" w:rsidRDefault="00445AE9" w:rsidP="00BD611E">
            <w:pPr>
              <w:pStyle w:val="rvps2"/>
              <w:spacing w:before="0" w:beforeAutospacing="0" w:after="0" w:afterAutospacing="0"/>
              <w:jc w:val="both"/>
              <w:rPr>
                <w:sz w:val="22"/>
                <w:szCs w:val="22"/>
              </w:rPr>
            </w:pPr>
            <w:r w:rsidRPr="00AE57F1">
              <w:rPr>
                <w:sz w:val="22"/>
                <w:szCs w:val="22"/>
              </w:rPr>
              <w:t>Документ має бути оформлений не більше 30 денної давнини відносно дати його подання Замовнику.</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150" w:line="240" w:lineRule="auto"/>
              <w:jc w:val="both"/>
              <w:rPr>
                <w:rFonts w:ascii="Times New Roman" w:hAnsi="Times New Roman" w:cs="Times New Roman"/>
                <w:b/>
              </w:rPr>
            </w:pPr>
            <w:r w:rsidRPr="00AE57F1">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spacing w:after="150" w:line="240" w:lineRule="auto"/>
              <w:jc w:val="both"/>
              <w:rPr>
                <w:rFonts w:ascii="Times New Roman" w:eastAsia="Times New Roman" w:hAnsi="Times New Roman" w:cs="Times New Roman"/>
                <w:b/>
                <w:color w:val="000000"/>
              </w:rPr>
            </w:pPr>
            <w:r w:rsidRPr="00AE57F1">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E57F1">
              <w:rPr>
                <w:rFonts w:ascii="Times New Roman" w:eastAsia="Times New Roman" w:hAnsi="Times New Roman" w:cs="Times New Roman"/>
                <w:b/>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0" w:afterAutospacing="0"/>
              <w:jc w:val="both"/>
              <w:rPr>
                <w:color w:val="000000"/>
                <w:sz w:val="22"/>
                <w:szCs w:val="22"/>
              </w:rPr>
            </w:pPr>
            <w:r w:rsidRPr="00AE57F1">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445AE9" w:rsidRPr="00AE57F1" w:rsidRDefault="00445AE9" w:rsidP="00BD611E">
            <w:pPr>
              <w:spacing w:after="0" w:line="240" w:lineRule="auto"/>
              <w:jc w:val="both"/>
              <w:rPr>
                <w:rFonts w:ascii="Times New Roman" w:hAnsi="Times New Roman" w:cs="Times New Roman"/>
              </w:rPr>
            </w:pP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 xml:space="preserve">У разі, якщо відносно учасника-переможця така підстава для відхилення наявна, то </w:t>
            </w:r>
            <w:r w:rsidRPr="00AE57F1">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5AE9" w:rsidRPr="00AE57F1" w:rsidRDefault="00445AE9" w:rsidP="00445AE9">
      <w:pPr>
        <w:pStyle w:val="Default"/>
        <w:jc w:val="center"/>
        <w:rPr>
          <w:rFonts w:eastAsia="Times New Roman"/>
          <w:b/>
          <w:sz w:val="22"/>
          <w:szCs w:val="22"/>
        </w:rPr>
      </w:pPr>
    </w:p>
    <w:p w:rsidR="00445AE9" w:rsidRPr="00AE57F1" w:rsidRDefault="00445AE9" w:rsidP="00445AE9">
      <w:pPr>
        <w:pStyle w:val="Default"/>
        <w:jc w:val="center"/>
        <w:rPr>
          <w:rFonts w:eastAsia="Times New Roman"/>
          <w:b/>
          <w:sz w:val="22"/>
          <w:szCs w:val="22"/>
        </w:rPr>
      </w:pPr>
    </w:p>
    <w:p w:rsidR="00577DF3" w:rsidRPr="00422453" w:rsidRDefault="00577DF3" w:rsidP="00422453">
      <w:pPr>
        <w:widowControl w:val="0"/>
        <w:spacing w:after="0" w:line="240" w:lineRule="auto"/>
        <w:ind w:right="113"/>
        <w:contextualSpacing/>
        <w:jc w:val="both"/>
        <w:rPr>
          <w:rFonts w:ascii="Times New Roman" w:hAnsi="Times New Roman" w:cs="Times New Roman"/>
          <w:b/>
        </w:rPr>
      </w:pPr>
      <w:bookmarkStart w:id="0" w:name="_GoBack"/>
      <w:bookmarkEnd w:id="0"/>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CD5E4D"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lastRenderedPageBreak/>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B3485" w:rsidRDefault="00577DF3" w:rsidP="00577DF3">
            <w:pPr>
              <w:pStyle w:val="aa"/>
              <w:spacing w:before="0" w:beforeAutospacing="0" w:after="0" w:afterAutospacing="0"/>
              <w:ind w:left="-21" w:firstLine="479"/>
              <w:jc w:val="both"/>
              <w:rPr>
                <w:sz w:val="22"/>
                <w:szCs w:val="22"/>
                <w:lang w:val="uk-UA"/>
              </w:rPr>
            </w:pPr>
            <w:r w:rsidRPr="00DD6501">
              <w:rPr>
                <w:color w:val="000000"/>
                <w:sz w:val="22"/>
                <w:szCs w:val="22"/>
                <w:lang w:val="uk-UA" w:eastAsia="uk-UA"/>
              </w:rPr>
              <w:t xml:space="preserve">Г) </w:t>
            </w:r>
            <w:r w:rsidRPr="00DB3485">
              <w:rPr>
                <w:color w:val="000000"/>
                <w:sz w:val="22"/>
                <w:szCs w:val="22"/>
                <w:lang w:val="uk-UA"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B3485">
              <w:rPr>
                <w:color w:val="000000"/>
                <w:sz w:val="22"/>
                <w:szCs w:val="22"/>
                <w:lang w:val="uk-UA"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 xml:space="preserve">чикопія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98E" w:rsidRDefault="004B698E">
      <w:pPr>
        <w:spacing w:after="0" w:line="240" w:lineRule="auto"/>
      </w:pPr>
      <w:r>
        <w:separator/>
      </w:r>
    </w:p>
  </w:endnote>
  <w:endnote w:type="continuationSeparator" w:id="1">
    <w:p w:rsidR="004B698E" w:rsidRDefault="004B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98E" w:rsidRDefault="004B698E">
      <w:pPr>
        <w:spacing w:after="0" w:line="240" w:lineRule="auto"/>
      </w:pPr>
      <w:r>
        <w:separator/>
      </w:r>
    </w:p>
  </w:footnote>
  <w:footnote w:type="continuationSeparator" w:id="1">
    <w:p w:rsidR="004B698E" w:rsidRDefault="004B6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9472CC">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A6905">
      <w:rPr>
        <w:rFonts w:ascii="Times New Roman" w:hAnsi="Times New Roman"/>
        <w:noProof/>
        <w:sz w:val="28"/>
        <w:szCs w:val="28"/>
      </w:rPr>
      <w:t>6</w:t>
    </w:r>
    <w:r w:rsidRPr="00770A35">
      <w:rPr>
        <w:rFonts w:ascii="Times New Roman" w:hAnsi="Times New Roman"/>
        <w:sz w:val="28"/>
        <w:szCs w:val="28"/>
      </w:rPr>
      <w:fldChar w:fldCharType="end"/>
    </w:r>
  </w:p>
  <w:p w:rsidR="00EF4FC5" w:rsidRDefault="00FA69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FELayout/>
  </w:compat>
  <w:rsids>
    <w:rsidRoot w:val="0010524F"/>
    <w:rsid w:val="0001704B"/>
    <w:rsid w:val="000247E2"/>
    <w:rsid w:val="00045F9B"/>
    <w:rsid w:val="00050F07"/>
    <w:rsid w:val="00071B88"/>
    <w:rsid w:val="00097D0F"/>
    <w:rsid w:val="000C57D9"/>
    <w:rsid w:val="000D6C46"/>
    <w:rsid w:val="000F1E54"/>
    <w:rsid w:val="000F600B"/>
    <w:rsid w:val="0010524F"/>
    <w:rsid w:val="001242BF"/>
    <w:rsid w:val="001330CE"/>
    <w:rsid w:val="001536B7"/>
    <w:rsid w:val="00194853"/>
    <w:rsid w:val="001B041B"/>
    <w:rsid w:val="001F17A7"/>
    <w:rsid w:val="00214E38"/>
    <w:rsid w:val="00272842"/>
    <w:rsid w:val="002A735D"/>
    <w:rsid w:val="00301E7F"/>
    <w:rsid w:val="00304622"/>
    <w:rsid w:val="0033117E"/>
    <w:rsid w:val="0033588F"/>
    <w:rsid w:val="00376423"/>
    <w:rsid w:val="003A2FEC"/>
    <w:rsid w:val="00420B51"/>
    <w:rsid w:val="00422453"/>
    <w:rsid w:val="00445AE9"/>
    <w:rsid w:val="004B698E"/>
    <w:rsid w:val="00514BCE"/>
    <w:rsid w:val="00531A4D"/>
    <w:rsid w:val="00566D1A"/>
    <w:rsid w:val="00577DF3"/>
    <w:rsid w:val="005A2B9A"/>
    <w:rsid w:val="005A5765"/>
    <w:rsid w:val="005D09F7"/>
    <w:rsid w:val="005E03CF"/>
    <w:rsid w:val="0065351A"/>
    <w:rsid w:val="00681EE3"/>
    <w:rsid w:val="006C111B"/>
    <w:rsid w:val="006C4709"/>
    <w:rsid w:val="006E3B6B"/>
    <w:rsid w:val="006F19B3"/>
    <w:rsid w:val="006F527E"/>
    <w:rsid w:val="00713F7E"/>
    <w:rsid w:val="00713FDA"/>
    <w:rsid w:val="00716438"/>
    <w:rsid w:val="00731F24"/>
    <w:rsid w:val="00733D1F"/>
    <w:rsid w:val="0075645D"/>
    <w:rsid w:val="00784553"/>
    <w:rsid w:val="007A4CA3"/>
    <w:rsid w:val="007D34BF"/>
    <w:rsid w:val="00800627"/>
    <w:rsid w:val="00816137"/>
    <w:rsid w:val="00836BE1"/>
    <w:rsid w:val="00890D8D"/>
    <w:rsid w:val="008C1043"/>
    <w:rsid w:val="008D4E9D"/>
    <w:rsid w:val="009016E9"/>
    <w:rsid w:val="00910871"/>
    <w:rsid w:val="00912F07"/>
    <w:rsid w:val="00945C6E"/>
    <w:rsid w:val="009472CC"/>
    <w:rsid w:val="00950E45"/>
    <w:rsid w:val="009717FB"/>
    <w:rsid w:val="009A6607"/>
    <w:rsid w:val="009B49A6"/>
    <w:rsid w:val="00A104B2"/>
    <w:rsid w:val="00A330A5"/>
    <w:rsid w:val="00A353BE"/>
    <w:rsid w:val="00A40385"/>
    <w:rsid w:val="00A5011D"/>
    <w:rsid w:val="00AA2CBC"/>
    <w:rsid w:val="00AC046B"/>
    <w:rsid w:val="00AD574B"/>
    <w:rsid w:val="00B37302"/>
    <w:rsid w:val="00B74700"/>
    <w:rsid w:val="00B83944"/>
    <w:rsid w:val="00B93461"/>
    <w:rsid w:val="00BE2EDD"/>
    <w:rsid w:val="00C3076C"/>
    <w:rsid w:val="00C703FD"/>
    <w:rsid w:val="00C7684A"/>
    <w:rsid w:val="00C85350"/>
    <w:rsid w:val="00C93893"/>
    <w:rsid w:val="00C93A31"/>
    <w:rsid w:val="00C95DBB"/>
    <w:rsid w:val="00CA00E9"/>
    <w:rsid w:val="00CD5E4D"/>
    <w:rsid w:val="00CF0D99"/>
    <w:rsid w:val="00D1455B"/>
    <w:rsid w:val="00D777BE"/>
    <w:rsid w:val="00DA4B73"/>
    <w:rsid w:val="00DB3485"/>
    <w:rsid w:val="00DD4744"/>
    <w:rsid w:val="00DD6501"/>
    <w:rsid w:val="00E52675"/>
    <w:rsid w:val="00E56C08"/>
    <w:rsid w:val="00E60EC1"/>
    <w:rsid w:val="00F1053D"/>
    <w:rsid w:val="00F364D3"/>
    <w:rsid w:val="00F45CD3"/>
    <w:rsid w:val="00F57160"/>
    <w:rsid w:val="00F8226A"/>
    <w:rsid w:val="00FA6905"/>
    <w:rsid w:val="00FB613E"/>
    <w:rsid w:val="00FC57C3"/>
    <w:rsid w:val="00FD4B28"/>
    <w:rsid w:val="00FD500F"/>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
    <w:rsid w:val="00445AE9"/>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58FB-ED45-49CF-8BC2-87E8F07C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11945</Words>
  <Characters>6810</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cp:lastModifiedBy>
  <cp:revision>15</cp:revision>
  <dcterms:created xsi:type="dcterms:W3CDTF">2023-01-30T11:18:00Z</dcterms:created>
  <dcterms:modified xsi:type="dcterms:W3CDTF">2023-05-09T14:08:00Z</dcterms:modified>
</cp:coreProperties>
</file>