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563C8E" w:rsidRDefault="00563C8E" w:rsidP="00563C8E">
      <w:pPr>
        <w:jc w:val="center"/>
        <w:rPr>
          <w:sz w:val="24"/>
          <w:szCs w:val="24"/>
          <w:lang w:val="uk-UA"/>
        </w:rPr>
      </w:pPr>
      <w:r w:rsidRPr="00563C8E">
        <w:rPr>
          <w:sz w:val="24"/>
          <w:szCs w:val="24"/>
          <w:lang w:val="uk-UA"/>
        </w:rPr>
        <w:t>Перелік змін до тендерної документації</w:t>
      </w:r>
    </w:p>
    <w:p w:rsidR="00563C8E" w:rsidRPr="00563C8E" w:rsidRDefault="00563C8E" w:rsidP="00563C8E">
      <w:pPr>
        <w:jc w:val="center"/>
        <w:rPr>
          <w:sz w:val="24"/>
          <w:szCs w:val="24"/>
          <w:lang w:val="uk-UA"/>
        </w:rPr>
      </w:pPr>
      <w:r w:rsidRPr="00563C8E">
        <w:rPr>
          <w:sz w:val="24"/>
          <w:szCs w:val="24"/>
          <w:lang w:val="uk-UA"/>
        </w:rPr>
        <w:t xml:space="preserve">«50410000-2 Послуги з ремонту і технічного обслуговування вимірювальних, випробувальних і контрольних приладів (Послуги з технічного обслуговування та цілодобового спостерігання систем протипожежного захисту закладів та установ системи освіти Приморського району </w:t>
      </w:r>
      <w:proofErr w:type="spellStart"/>
      <w:r w:rsidRPr="00563C8E">
        <w:rPr>
          <w:sz w:val="24"/>
          <w:szCs w:val="24"/>
          <w:lang w:val="uk-UA"/>
        </w:rPr>
        <w:t>м.Одеси</w:t>
      </w:r>
      <w:proofErr w:type="spellEnd"/>
      <w:r w:rsidRPr="00563C8E">
        <w:rPr>
          <w:sz w:val="24"/>
          <w:szCs w:val="24"/>
          <w:lang w:val="uk-UA"/>
        </w:rPr>
        <w:t>»)»</w:t>
      </w:r>
    </w:p>
    <w:p w:rsidR="00563C8E" w:rsidRPr="00563C8E" w:rsidRDefault="00563C8E" w:rsidP="00563C8E">
      <w:pPr>
        <w:jc w:val="center"/>
        <w:rPr>
          <w:sz w:val="24"/>
          <w:szCs w:val="24"/>
          <w:lang w:val="uk-UA"/>
        </w:rPr>
      </w:pPr>
    </w:p>
    <w:p w:rsidR="00563C8E" w:rsidRPr="003134D4" w:rsidRDefault="00563C8E" w:rsidP="00563C8E">
      <w:pPr>
        <w:ind w:firstLine="567"/>
        <w:jc w:val="both"/>
        <w:rPr>
          <w:b/>
          <w:sz w:val="24"/>
          <w:szCs w:val="24"/>
          <w:lang w:val="uk-UA"/>
        </w:rPr>
      </w:pPr>
      <w:r w:rsidRPr="003134D4">
        <w:rPr>
          <w:b/>
          <w:sz w:val="24"/>
          <w:szCs w:val="24"/>
          <w:lang w:val="uk-UA"/>
        </w:rPr>
        <w:t>1. Внести зміни до тендерної документації та викласти пункт 5 Розділу 5 «Оцінка тендерної пропозиції» в новій редакції:</w:t>
      </w:r>
    </w:p>
    <w:p w:rsidR="00563C8E" w:rsidRPr="00563C8E" w:rsidRDefault="00563C8E" w:rsidP="00563C8E">
      <w:pPr>
        <w:shd w:val="clear" w:color="auto" w:fill="FFFFFF"/>
        <w:jc w:val="both"/>
        <w:textAlignment w:val="baseline"/>
        <w:rPr>
          <w:rFonts w:eastAsia="Calibri" w:cs="Times New Roman"/>
          <w:sz w:val="24"/>
          <w:szCs w:val="24"/>
          <w:bdr w:val="none" w:sz="0" w:space="0" w:color="auto" w:frame="1"/>
          <w:lang w:val="uk-UA" w:eastAsia="uk-UA"/>
        </w:rPr>
      </w:pPr>
      <w:r w:rsidRPr="00563C8E">
        <w:rPr>
          <w:sz w:val="24"/>
          <w:szCs w:val="24"/>
          <w:lang w:val="uk-UA"/>
        </w:rPr>
        <w:t>«</w:t>
      </w:r>
      <w:r w:rsidRPr="00563C8E">
        <w:rPr>
          <w:rFonts w:eastAsia="Calibri" w:cs="Times New Roman"/>
          <w:sz w:val="24"/>
          <w:szCs w:val="24"/>
          <w:bdr w:val="none" w:sz="0" w:space="0" w:color="auto" w:frame="1"/>
          <w:lang w:val="uk-UA" w:eastAsia="uk-UA"/>
        </w:rPr>
        <w:t>Замовник відхиляє тендерну пропозицію із зазначенням аргументації в електронній системі за</w:t>
      </w:r>
      <w:bookmarkStart w:id="0" w:name="_GoBack"/>
      <w:bookmarkEnd w:id="0"/>
      <w:r w:rsidRPr="00563C8E">
        <w:rPr>
          <w:rFonts w:eastAsia="Calibri" w:cs="Times New Roman"/>
          <w:sz w:val="24"/>
          <w:szCs w:val="24"/>
          <w:bdr w:val="none" w:sz="0" w:space="0" w:color="auto" w:frame="1"/>
          <w:lang w:val="uk-UA" w:eastAsia="uk-UA"/>
        </w:rPr>
        <w:t>купівель у разі, коли: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highlight w:val="yellow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1) учасник процедури закупівлі: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підпадає під підстави, встановлені пунктом 47 Особливостей;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highlight w:val="yellow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Особливостей;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не надав забезпечення тендерної пропозиції, якщо таке забезпечення вимагалося замовником;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Особливостей;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highlight w:val="yellow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визначив конфіденційною інформацію, що не може бути визначена як конфіденційна відповідно до вимог пункту 40 Особливостей;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highlight w:val="yellow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563C8E">
        <w:rPr>
          <w:rFonts w:eastAsia="Calibri" w:cs="Times New Roman"/>
          <w:sz w:val="24"/>
          <w:szCs w:val="24"/>
          <w:lang w:val="uk-UA" w:eastAsia="en-US"/>
        </w:rPr>
        <w:t>бенефіціарним</w:t>
      </w:r>
      <w:proofErr w:type="spellEnd"/>
      <w:r w:rsidRPr="00563C8E">
        <w:rPr>
          <w:rFonts w:eastAsia="Calibri" w:cs="Times New Roman"/>
          <w:sz w:val="24"/>
          <w:szCs w:val="24"/>
          <w:lang w:val="uk-UA" w:eastAsia="en-US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 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 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2) тендерна пропозиція: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highlight w:val="yellow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lastRenderedPageBreak/>
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Особливостей;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є такою, строк дії якої закінчився;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не відповідає вимогам, установленим у тендерній документації відповідно до абзацу першого частини третьої статті 22 Закону;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3) переможець процедури закупівлі: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відмовився від підписання договору про закупівлю відповідно до вимог тендерної документації або укладення договору про закупівлю;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highlight w:val="yellow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не надав забезпечення виконання договору про закупівлю, якщо таке забезпечення вимагалося замовником;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highlight w:val="yellow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Особливостей.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Замовник може відхилити тендерну пропозицію із зазначенням аргументації в електронній системі закупівель у разі, коли: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1) 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</w:r>
    </w:p>
    <w:p w:rsidR="00563C8E" w:rsidRPr="00563C8E" w:rsidRDefault="00563C8E" w:rsidP="00563C8E">
      <w:pPr>
        <w:widowControl/>
        <w:shd w:val="clear" w:color="auto" w:fill="FFFFFF"/>
        <w:autoSpaceDE/>
        <w:autoSpaceDN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 xml:space="preserve">Інформація про відхилення тендерної пропозиції, у тому числі підстави такого відхилення (з посиланням на відповідні положення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автоматично надсилається </w:t>
      </w:r>
      <w:proofErr w:type="spellStart"/>
      <w:r w:rsidRPr="00563C8E">
        <w:rPr>
          <w:rFonts w:eastAsia="Calibri" w:cs="Times New Roman"/>
          <w:sz w:val="24"/>
          <w:szCs w:val="24"/>
          <w:lang w:val="uk-UA" w:eastAsia="en-US"/>
        </w:rPr>
        <w:t>учансику</w:t>
      </w:r>
      <w:proofErr w:type="spellEnd"/>
      <w:r w:rsidRPr="00563C8E">
        <w:rPr>
          <w:rFonts w:eastAsia="Calibri" w:cs="Times New Roman"/>
          <w:sz w:val="24"/>
          <w:szCs w:val="24"/>
          <w:lang w:val="uk-UA" w:eastAsia="en-US"/>
        </w:rPr>
        <w:t xml:space="preserve"> процедури закупівлі/переможцю процедури закупівлі, тендерна пропозиція якого відхилена, через електронну систему закупівель.</w:t>
      </w:r>
    </w:p>
    <w:p w:rsidR="00563C8E" w:rsidRPr="00563C8E" w:rsidRDefault="00563C8E" w:rsidP="00563C8E">
      <w:pPr>
        <w:ind w:firstLine="567"/>
        <w:jc w:val="both"/>
        <w:rPr>
          <w:sz w:val="24"/>
          <w:szCs w:val="24"/>
          <w:lang w:val="uk-UA"/>
        </w:rPr>
      </w:pPr>
      <w:r w:rsidRPr="00563C8E">
        <w:rPr>
          <w:rFonts w:eastAsia="Calibri" w:cs="Times New Roman"/>
          <w:sz w:val="24"/>
          <w:szCs w:val="24"/>
          <w:lang w:val="uk-UA" w:eastAsia="en-US"/>
        </w:rPr>
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дня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Закону.».</w:t>
      </w:r>
    </w:p>
    <w:p w:rsidR="00563C8E" w:rsidRPr="00563C8E" w:rsidRDefault="00563C8E" w:rsidP="00563C8E">
      <w:pPr>
        <w:ind w:firstLine="567"/>
        <w:jc w:val="both"/>
        <w:rPr>
          <w:sz w:val="24"/>
          <w:szCs w:val="24"/>
          <w:lang w:val="uk-UA"/>
        </w:rPr>
      </w:pPr>
    </w:p>
    <w:sectPr w:rsidR="00563C8E" w:rsidRPr="0056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E"/>
    <w:rsid w:val="003134D4"/>
    <w:rsid w:val="00396FD7"/>
    <w:rsid w:val="00563C8E"/>
    <w:rsid w:val="006913BF"/>
    <w:rsid w:val="00A20293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578"/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FA7578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0293"/>
    <w:rPr>
      <w:rFonts w:ascii="Times New Roman" w:hAnsi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  <w:style w:type="character" w:customStyle="1" w:styleId="60">
    <w:name w:val="Заголовок 6 Знак"/>
    <w:basedOn w:val="a0"/>
    <w:link w:val="6"/>
    <w:uiPriority w:val="9"/>
    <w:semiHidden/>
    <w:rsid w:val="00A20293"/>
    <w:rPr>
      <w:rFonts w:asciiTheme="majorHAnsi" w:eastAsiaTheme="majorEastAsia" w:hAnsiTheme="majorHAnsi" w:cstheme="majorBidi"/>
      <w:i/>
      <w:iCs/>
      <w:color w:val="243F60" w:themeColor="accent1" w:themeShade="7F"/>
      <w:lang w:val="uk" w:eastAsia="uk"/>
    </w:rPr>
  </w:style>
  <w:style w:type="character" w:customStyle="1" w:styleId="70">
    <w:name w:val="Заголовок 7 Знак"/>
    <w:basedOn w:val="a0"/>
    <w:link w:val="7"/>
    <w:uiPriority w:val="9"/>
    <w:semiHidden/>
    <w:rsid w:val="00A20293"/>
    <w:rPr>
      <w:rFonts w:asciiTheme="majorHAnsi" w:eastAsiaTheme="majorEastAsia" w:hAnsiTheme="majorHAnsi" w:cstheme="majorBidi"/>
      <w:i/>
      <w:iCs/>
      <w:color w:val="404040" w:themeColor="text1" w:themeTint="BF"/>
      <w:lang w:val="uk" w:eastAsia="uk"/>
    </w:rPr>
  </w:style>
  <w:style w:type="character" w:customStyle="1" w:styleId="80">
    <w:name w:val="Заголовок 8 Знак"/>
    <w:basedOn w:val="a0"/>
    <w:link w:val="8"/>
    <w:uiPriority w:val="9"/>
    <w:semiHidden/>
    <w:rsid w:val="00A202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FA7578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FA7578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7578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FA7578"/>
    <w:pPr>
      <w:ind w:left="433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56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578"/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FA7578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0293"/>
    <w:rPr>
      <w:rFonts w:ascii="Times New Roman" w:hAnsi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  <w:lang w:val="uk" w:eastAsia="uk"/>
    </w:rPr>
  </w:style>
  <w:style w:type="character" w:customStyle="1" w:styleId="60">
    <w:name w:val="Заголовок 6 Знак"/>
    <w:basedOn w:val="a0"/>
    <w:link w:val="6"/>
    <w:uiPriority w:val="9"/>
    <w:semiHidden/>
    <w:rsid w:val="00A20293"/>
    <w:rPr>
      <w:rFonts w:asciiTheme="majorHAnsi" w:eastAsiaTheme="majorEastAsia" w:hAnsiTheme="majorHAnsi" w:cstheme="majorBidi"/>
      <w:i/>
      <w:iCs/>
      <w:color w:val="243F60" w:themeColor="accent1" w:themeShade="7F"/>
      <w:lang w:val="uk" w:eastAsia="uk"/>
    </w:rPr>
  </w:style>
  <w:style w:type="character" w:customStyle="1" w:styleId="70">
    <w:name w:val="Заголовок 7 Знак"/>
    <w:basedOn w:val="a0"/>
    <w:link w:val="7"/>
    <w:uiPriority w:val="9"/>
    <w:semiHidden/>
    <w:rsid w:val="00A20293"/>
    <w:rPr>
      <w:rFonts w:asciiTheme="majorHAnsi" w:eastAsiaTheme="majorEastAsia" w:hAnsiTheme="majorHAnsi" w:cstheme="majorBidi"/>
      <w:i/>
      <w:iCs/>
      <w:color w:val="404040" w:themeColor="text1" w:themeTint="BF"/>
      <w:lang w:val="uk" w:eastAsia="uk"/>
    </w:rPr>
  </w:style>
  <w:style w:type="character" w:customStyle="1" w:styleId="80">
    <w:name w:val="Заголовок 8 Знак"/>
    <w:basedOn w:val="a0"/>
    <w:link w:val="8"/>
    <w:uiPriority w:val="9"/>
    <w:semiHidden/>
    <w:rsid w:val="00A202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FA7578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FA7578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7578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styleId="a5">
    <w:name w:val="List Paragraph"/>
    <w:basedOn w:val="a"/>
    <w:uiPriority w:val="1"/>
    <w:qFormat/>
    <w:rsid w:val="00FA7578"/>
    <w:pPr>
      <w:ind w:left="433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56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2024-02-16T11:50:00Z</dcterms:created>
  <dcterms:modified xsi:type="dcterms:W3CDTF">2024-02-16T11:50:00Z</dcterms:modified>
</cp:coreProperties>
</file>