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44" w:rsidRDefault="001B524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5244" w:rsidRDefault="00C262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1B5244" w:rsidRDefault="00C262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5244" w:rsidRDefault="00C262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1B5244" w:rsidRDefault="001B524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highlight w:val="white"/>
          <w:lang w:val="ru-RU" w:eastAsia="en-US"/>
        </w:rPr>
      </w:pPr>
      <w:r w:rsidRPr="00C2629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highlight w:val="white"/>
          <w:lang w:val="ru-RU" w:eastAsia="en-US"/>
        </w:rPr>
        <w:t>ТЕХНІЧНА СПЕЦИФІКАЦІЯ</w:t>
      </w:r>
    </w:p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          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Замовник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самостійно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визначає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необхідні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технічні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характеристики предмета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закупівлі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з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огляду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на</w:t>
      </w:r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специфік</w:t>
      </w: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у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предмета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закупівлі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керуючись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принципами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здійснення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закупівель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та з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дотриманням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законодавства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.</w:t>
      </w:r>
    </w:p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          </w:t>
      </w:r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Фактом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подання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тендерної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пропозиції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учасник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підтверджує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відповідність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своєї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пропозиції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технічним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якісним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кількісним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функціональним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характеристикам до предмета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закупівлі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, у тому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числі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технічній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специфікації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(у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разі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потреби – планам,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кресленням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малюнкам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чи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опису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предмета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закупівлі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) та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іншим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вимогам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до предмет</w:t>
      </w:r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>а</w:t>
      </w:r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закупівлі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містяться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в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тендерній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документації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цьому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додатку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, а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також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підтверджує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можливість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поставки товару</w:t>
      </w:r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>в</w:t>
      </w:r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ідповідно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до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вимог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визначених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згідно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з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умовами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тендерної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документації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.</w:t>
      </w:r>
    </w:p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highlight w:val="white"/>
          <w:lang w:val="ru-RU" w:eastAsia="en-US"/>
        </w:rPr>
        <w:t xml:space="preserve">            </w:t>
      </w:r>
      <w:r w:rsidRPr="00C2629A">
        <w:rPr>
          <w:rFonts w:ascii="Times New Roman" w:eastAsia="Times New Roman" w:hAnsi="Times New Roman" w:cs="Times New Roman"/>
          <w:i/>
          <w:position w:val="-1"/>
          <w:sz w:val="24"/>
          <w:szCs w:val="24"/>
          <w:highlight w:val="white"/>
          <w:lang w:val="ru-RU" w:eastAsia="en-US"/>
        </w:rPr>
        <w:t>У</w:t>
      </w:r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місцях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де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технічна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специфікація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містить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посилання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на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конкретні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марку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чи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виробника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або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на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конкретний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процес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характеризує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продукт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чи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послугу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певного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суб’єкта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господарювання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чи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на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торгові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марки,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патенти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типи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або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конкретне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місце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походження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чи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спосіб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виробництва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вважати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proofErr w:type="gram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вираз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 </w:t>
      </w:r>
      <w:r w:rsidRPr="00C2629A">
        <w:rPr>
          <w:rFonts w:ascii="Times New Roman" w:eastAsia="Times New Roman" w:hAnsi="Times New Roman" w:cs="Times New Roman"/>
          <w:i/>
          <w:position w:val="-1"/>
          <w:sz w:val="24"/>
          <w:szCs w:val="24"/>
          <w:highlight w:val="white"/>
          <w:lang w:val="ru-RU" w:eastAsia="en-US"/>
        </w:rPr>
        <w:t>«</w:t>
      </w:r>
      <w:proofErr w:type="spellStart"/>
      <w:proofErr w:type="gram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або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еквівалент</w:t>
      </w:r>
      <w:proofErr w:type="spellEnd"/>
      <w:r w:rsidRPr="00C2629A">
        <w:rPr>
          <w:rFonts w:ascii="Times New Roman" w:eastAsia="Times New Roman" w:hAnsi="Times New Roman" w:cs="Times New Roman"/>
          <w:i/>
          <w:position w:val="-1"/>
          <w:sz w:val="24"/>
          <w:szCs w:val="24"/>
          <w:highlight w:val="white"/>
          <w:lang w:val="ru-RU" w:eastAsia="en-US"/>
        </w:rPr>
        <w:t>»</w:t>
      </w:r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.</w:t>
      </w:r>
    </w:p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highlight w:val="white"/>
          <w:lang w:val="ru-RU" w:eastAsia="en-US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highlight w:val="white"/>
          <w:lang w:val="ru-RU" w:eastAsia="en-US"/>
        </w:rPr>
        <w:t xml:space="preserve">            </w:t>
      </w:r>
      <w:r w:rsidRPr="00C2629A">
        <w:rPr>
          <w:rFonts w:ascii="Times New Roman" w:eastAsia="Times New Roman" w:hAnsi="Times New Roman" w:cs="Times New Roman"/>
          <w:i/>
          <w:position w:val="-1"/>
          <w:sz w:val="24"/>
          <w:szCs w:val="24"/>
          <w:highlight w:val="white"/>
          <w:lang w:val="ru-RU" w:eastAsia="en-US"/>
        </w:rPr>
        <w:t>У</w:t>
      </w:r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місцях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де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технічна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специфікація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містить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посилання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на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стандартні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характеристики,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технічні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регламенти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умови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вимоги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умовні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позначення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термінологію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пов’язані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з товарами, роботами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чи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послугами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закуповуються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передбачені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існуючими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міжнародними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європейськими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стандартами,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іншими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спільними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технічними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європейськими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нормами,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іншими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технічними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еталонними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системами,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визнаними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європейськими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органами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зі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стандартизації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або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національними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стандартами, нормами та правилами,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біля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кожного такого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посилання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вважати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вираз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«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або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еквівалент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». Таким чином,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вважається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до кожного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посилання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додається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вираз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«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або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еквівалент</w:t>
      </w:r>
      <w:proofErr w:type="spellEnd"/>
      <w:r w:rsidRPr="00C2629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highlight w:val="white"/>
          <w:lang w:val="ru-RU" w:eastAsia="en-US"/>
        </w:rPr>
        <w:t>».</w:t>
      </w:r>
    </w:p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          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Обґрунтування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необхідності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закупівлі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даного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виду товару –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замовник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здійснює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закупівлю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даного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виду товару,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оскільки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він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за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своїми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якісними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технічними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характеристиками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найбільше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відповідатиме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вимогам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та потребам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замовника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.</w:t>
      </w:r>
    </w:p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</w:p>
    <w:p w:rsidR="00C2629A" w:rsidRPr="00C2629A" w:rsidRDefault="00C2629A" w:rsidP="00C262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Детальний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опис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предмета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закупівлі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:</w:t>
      </w:r>
    </w:p>
    <w:tbl>
      <w:tblPr>
        <w:tblW w:w="96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C2629A" w:rsidRPr="00C2629A" w:rsidTr="00F4729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Назва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предмета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закупівлі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Природний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 газ</w:t>
            </w:r>
          </w:p>
        </w:tc>
      </w:tr>
      <w:tr w:rsidR="00C2629A" w:rsidRPr="00C2629A" w:rsidTr="00F4729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Код ДК 021:2015 за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Єдиним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закупівельним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09120000-6 –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газове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паливо</w:t>
            </w:r>
            <w:proofErr w:type="spellEnd"/>
          </w:p>
        </w:tc>
      </w:tr>
      <w:tr w:rsidR="00C2629A" w:rsidRPr="00C2629A" w:rsidTr="00F4729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Назви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товару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номенклатурної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позиції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предмета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закупівлі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та код товару,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визначеного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згідно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Єдиним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закупівельним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словником,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найбільше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відповідає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назві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номенклатурної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позиції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предмета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природний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газ: 09123000-7 –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природний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 xml:space="preserve"> газ</w:t>
            </w:r>
          </w:p>
        </w:tc>
      </w:tr>
      <w:tr w:rsidR="00C2629A" w:rsidRPr="00C2629A" w:rsidTr="00F4729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Одиниці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метри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кубічні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r w:rsidRPr="00C262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  <w:t>(м. куб.)</w:t>
            </w:r>
          </w:p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 w:eastAsia="en-US"/>
              </w:rPr>
            </w:pPr>
          </w:p>
        </w:tc>
      </w:tr>
      <w:tr w:rsidR="00C2629A" w:rsidRPr="00C2629A" w:rsidTr="00F4729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обсяг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), м.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 w:eastAsia="en-US"/>
              </w:rPr>
              <w:t>4000</w:t>
            </w:r>
          </w:p>
        </w:tc>
      </w:tr>
      <w:tr w:rsidR="00C2629A" w:rsidRPr="00C2629A" w:rsidTr="00F4729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bookmarkStart w:id="0" w:name="_GoBack" w:colFirst="1" w:colLast="1"/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lastRenderedPageBreak/>
              <w:t>Місце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</w:pPr>
            <w:r w:rsidRPr="00C262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4"/>
                <w:szCs w:val="24"/>
                <w:u w:val="single"/>
                <w:lang w:val="ru-RU" w:eastAsia="en-US"/>
              </w:rPr>
              <w:t xml:space="preserve">37300,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4"/>
                <w:szCs w:val="24"/>
                <w:u w:val="single"/>
                <w:lang w:val="ru-RU" w:eastAsia="en-US"/>
              </w:rPr>
              <w:t>Місто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4"/>
                <w:szCs w:val="24"/>
                <w:u w:val="single"/>
                <w:lang w:val="ru-RU" w:eastAsia="en-US"/>
              </w:rPr>
              <w:t xml:space="preserve"> Гадяч,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4"/>
                <w:szCs w:val="24"/>
                <w:u w:val="single"/>
                <w:lang w:val="ru-RU" w:eastAsia="en-US"/>
              </w:rPr>
              <w:t>Мирогородський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4"/>
                <w:szCs w:val="24"/>
                <w:u w:val="single"/>
                <w:lang w:val="ru-RU" w:eastAsia="en-US"/>
              </w:rPr>
              <w:t xml:space="preserve"> район,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4"/>
                <w:szCs w:val="24"/>
                <w:u w:val="single"/>
                <w:lang w:val="ru-RU" w:eastAsia="en-US"/>
              </w:rPr>
              <w:t>Полтавська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4"/>
                <w:szCs w:val="24"/>
                <w:u w:val="single"/>
                <w:lang w:val="ru-RU" w:eastAsia="en-US"/>
              </w:rPr>
              <w:t xml:space="preserve"> область</w:t>
            </w:r>
            <w:r w:rsidRPr="00C262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position w:val="-1"/>
                <w:sz w:val="24"/>
                <w:szCs w:val="24"/>
                <w:u w:val="single"/>
                <w:lang w:val="ru-RU" w:eastAsia="en-US"/>
              </w:rPr>
              <w:t>,</w:t>
            </w:r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 xml:space="preserve"> межа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>балансової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>належності</w:t>
            </w:r>
            <w:proofErr w:type="spellEnd"/>
          </w:p>
        </w:tc>
      </w:tr>
      <w:tr w:rsidR="00C2629A" w:rsidRPr="00C2629A" w:rsidTr="00F4729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r w:rsidRPr="00C262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29A" w:rsidRPr="00C2629A" w:rsidRDefault="00C2629A" w:rsidP="00C2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>Цілодобово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 xml:space="preserve"> </w:t>
            </w:r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 xml:space="preserve">з 01.01.2023 року </w:t>
            </w:r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>до 31.12.20</w:t>
            </w:r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 xml:space="preserve">23 </w:t>
            </w:r>
            <w:proofErr w:type="spellStart"/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>включно</w:t>
            </w:r>
            <w:proofErr w:type="spellEnd"/>
            <w:r w:rsidRPr="00C2629A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val="ru-RU" w:eastAsia="en-US"/>
              </w:rPr>
              <w:t xml:space="preserve">. </w:t>
            </w:r>
          </w:p>
        </w:tc>
      </w:tr>
      <w:bookmarkEnd w:id="0"/>
    </w:tbl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</w:p>
    <w:p w:rsidR="00C2629A" w:rsidRPr="00C2629A" w:rsidRDefault="00C2629A" w:rsidP="00C262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Вимоги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щодо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>якості</w:t>
      </w:r>
      <w:proofErr w:type="spellEnd"/>
      <w:r w:rsidRPr="00C2629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 природного газу. </w:t>
      </w:r>
    </w:p>
    <w:p w:rsidR="00C2629A" w:rsidRPr="00C2629A" w:rsidRDefault="00C2629A" w:rsidP="00C2629A">
      <w:pPr>
        <w:shd w:val="clear" w:color="auto" w:fill="FFFFFF"/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Якість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фізико-хімічні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показники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(ФХП) та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інші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характеристики природного газу,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який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постачається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замовнику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повинні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відповідати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вимогам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визначеним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Кодексом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газотранспортної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системи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затвердженому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постановою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Національної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комісії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здійснює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державне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регулювання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у сферах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енергетики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комунальних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послуг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від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30.09.2015 № 2493 (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далі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— Кодекс № 2493), Кодексом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газорозподільної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системи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затвердженому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постановою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Національної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комісії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здійснює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державне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регулювання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у сферах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енергетики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комунальних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послуг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від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30.09.2015 № 2494 (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далі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— Кодекс № 2494).</w:t>
      </w:r>
    </w:p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За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одиницю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виміру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кількості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природного газу при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його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обліку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приймається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один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кубічний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метр (куб. м), приведений до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стандартних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умов: температура (t) = 20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градусів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за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Цельсієм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тиск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(Р) = 760 мм ртутного </w:t>
      </w:r>
      <w:proofErr w:type="spellStart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стовпчика</w:t>
      </w:r>
      <w:proofErr w:type="spellEnd"/>
      <w:r w:rsidRPr="00C2629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(101,325 кПа).</w:t>
      </w:r>
    </w:p>
    <w:p w:rsidR="00C2629A" w:rsidRPr="00C2629A" w:rsidRDefault="00C2629A" w:rsidP="00C2629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</w:p>
    <w:p w:rsidR="00C2629A" w:rsidRPr="00C2629A" w:rsidRDefault="00C2629A" w:rsidP="00C2629A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</w:pP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>Особливі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>вимоги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 xml:space="preserve"> до предмета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>закупівлі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>.</w:t>
      </w:r>
    </w:p>
    <w:p w:rsidR="00C2629A" w:rsidRPr="00C2629A" w:rsidRDefault="00C2629A" w:rsidP="00C2629A">
      <w:pPr>
        <w:tabs>
          <w:tab w:val="left" w:pos="284"/>
          <w:tab w:val="left" w:pos="993"/>
          <w:tab w:val="left" w:pos="1560"/>
        </w:tabs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  <w:tab/>
      </w: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3.1. До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ціни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пропозиції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учасник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зобов’язаний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включити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послуги</w:t>
      </w:r>
      <w:proofErr w:type="spellEnd"/>
      <w:proofErr w:type="gram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із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замовлення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(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бронювання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)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потужності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щодо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кожного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періоду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обсягу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постачання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газу за договорами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постачання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природного газу.</w:t>
      </w:r>
    </w:p>
    <w:p w:rsidR="00C2629A" w:rsidRPr="00C2629A" w:rsidRDefault="00C2629A" w:rsidP="00C2629A">
      <w:pPr>
        <w:tabs>
          <w:tab w:val="left" w:pos="284"/>
          <w:tab w:val="left" w:pos="993"/>
          <w:tab w:val="left" w:pos="1560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</w:pP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ab/>
        <w:t xml:space="preserve">3.2.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Ціна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на предмет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даної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закупівлі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обов'язково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повинна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включати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до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вартості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ціни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тендерної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пропозиції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вартість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>послуг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>пов’язаних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 xml:space="preserve"> з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>транспортуванням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 xml:space="preserve"> газу</w:t>
      </w: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до точки входу в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газорозподільну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систему, до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якої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підключено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об’єкти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Замовника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, 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саме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витрати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на оплату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послуги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замовленої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потужності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здійснюється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постачальником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газу на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підставі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Договору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транспортування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природного газу з Оператором ГТС,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відповідно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до норм Кодексу ГТС за тарифами,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визначені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НКРЕКП.</w:t>
      </w:r>
    </w:p>
    <w:p w:rsidR="00C2629A" w:rsidRPr="00C2629A" w:rsidRDefault="00C2629A" w:rsidP="00C2629A">
      <w:pPr>
        <w:widowControl w:val="0"/>
        <w:suppressAutoHyphens/>
        <w:ind w:leftChars="-1" w:right="5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en-US"/>
        </w:rPr>
      </w:pP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При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цьому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до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ціни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газу </w:t>
      </w:r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 xml:space="preserve">не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>включається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>вартість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>послуг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 xml:space="preserve"> з </w:t>
      </w:r>
      <w:proofErr w:type="spellStart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>розподілу</w:t>
      </w:r>
      <w:proofErr w:type="spellEnd"/>
      <w:r w:rsidRPr="00C2629A">
        <w:rPr>
          <w:rFonts w:ascii="Times New Roman" w:eastAsia="Times New Roman" w:hAnsi="Times New Roman" w:cs="Times New Roman"/>
          <w:b/>
          <w:position w:val="-1"/>
          <w:sz w:val="24"/>
          <w:szCs w:val="24"/>
          <w:highlight w:val="yellow"/>
          <w:lang w:val="ru-RU" w:eastAsia="en-US"/>
        </w:rPr>
        <w:t xml:space="preserve"> природного газу</w:t>
      </w: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є предметом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регулювання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окремого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договору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між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Замовником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та Оператором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газорозподільної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системи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  <w:lang w:val="ru-RU" w:eastAsia="en-US"/>
        </w:rPr>
        <w:t>.</w:t>
      </w:r>
    </w:p>
    <w:p w:rsidR="00C2629A" w:rsidRPr="00C2629A" w:rsidRDefault="00C2629A" w:rsidP="00C2629A">
      <w:pPr>
        <w:tabs>
          <w:tab w:val="left" w:pos="284"/>
          <w:tab w:val="left" w:pos="993"/>
          <w:tab w:val="left" w:pos="1560"/>
        </w:tabs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ab/>
      </w:r>
    </w:p>
    <w:p w:rsidR="00C2629A" w:rsidRPr="00C2629A" w:rsidRDefault="00C2629A" w:rsidP="00C2629A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Постачання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природного газу,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його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технічні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якісні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характеристики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повинні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відповідати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 нормам</w:t>
      </w:r>
      <w:proofErr w:type="gram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чинного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законодавства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України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:</w:t>
      </w:r>
    </w:p>
    <w:p w:rsidR="00C2629A" w:rsidRPr="00C2629A" w:rsidRDefault="00C2629A" w:rsidP="00C2629A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Закону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України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«Про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ринок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природного газу» № 329-VIII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від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09.04.2015;</w:t>
      </w:r>
    </w:p>
    <w:p w:rsidR="00C2629A" w:rsidRPr="00C2629A" w:rsidRDefault="00C2629A" w:rsidP="00C2629A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Правилам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постачання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природного газу,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затвердженим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постановою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Національної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комісії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здійснює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державне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регулювання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у сферах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енергетики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комунальних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послуг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від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30.09.2015 № 2496;</w:t>
      </w:r>
    </w:p>
    <w:p w:rsidR="00C2629A" w:rsidRPr="00C2629A" w:rsidRDefault="00C2629A" w:rsidP="00C2629A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Кодексу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газотранспортної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системи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затвердженому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постановою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Національної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комісії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здійснює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державне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регулювання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у сферах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енергетики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комунальних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послуг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від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30.09.2015 № 2493;</w:t>
      </w:r>
    </w:p>
    <w:p w:rsidR="00C2629A" w:rsidRPr="00C2629A" w:rsidRDefault="00C2629A" w:rsidP="00C2629A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Кодексу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газорозподільної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системи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затвердженому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постановою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Національної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комісії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що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здійснює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державне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регулювання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у сферах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енергетики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та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комунальних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послуг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від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30.09.2015 № 2494;</w:t>
      </w:r>
    </w:p>
    <w:p w:rsidR="00C2629A" w:rsidRPr="00C2629A" w:rsidRDefault="00C2629A" w:rsidP="00C2629A">
      <w:pPr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</w:pP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lastRenderedPageBreak/>
        <w:t>Іншим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нормативно-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правовим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актам,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прийнятим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на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виконання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Закону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України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«Про </w:t>
      </w:r>
      <w:proofErr w:type="spellStart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>ринок</w:t>
      </w:r>
      <w:proofErr w:type="spellEnd"/>
      <w:r w:rsidRPr="00C2629A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en-US"/>
        </w:rPr>
        <w:t xml:space="preserve"> природного газу».</w:t>
      </w:r>
    </w:p>
    <w:p w:rsidR="001B5244" w:rsidRDefault="001B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B524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6278"/>
    <w:multiLevelType w:val="multilevel"/>
    <w:tmpl w:val="ACB2C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256CA5"/>
    <w:multiLevelType w:val="multilevel"/>
    <w:tmpl w:val="6BF4EBF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16C7D41"/>
    <w:multiLevelType w:val="multilevel"/>
    <w:tmpl w:val="DE085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44"/>
    <w:rsid w:val="001B5244"/>
    <w:rsid w:val="006F22D8"/>
    <w:rsid w:val="00C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B3CD-F23A-4514-A80A-ED71737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3372</Words>
  <Characters>1923</Characters>
  <Application>Microsoft Office Word</Application>
  <DocSecurity>0</DocSecurity>
  <Lines>16</Lines>
  <Paragraphs>10</Paragraphs>
  <ScaleCrop>false</ScaleCrop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wks_07</cp:lastModifiedBy>
  <cp:revision>3</cp:revision>
  <dcterms:created xsi:type="dcterms:W3CDTF">2022-08-17T14:44:00Z</dcterms:created>
  <dcterms:modified xsi:type="dcterms:W3CDTF">2022-10-31T10:38:00Z</dcterms:modified>
</cp:coreProperties>
</file>