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6973B506" w:rsidR="004B7337" w:rsidRDefault="007C55A6" w:rsidP="004B7337">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Плотер</w:t>
            </w:r>
          </w:p>
          <w:p w14:paraId="351C334B" w14:textId="3D9F7B29"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p>
          <w:p w14:paraId="44FDFE37" w14:textId="786B7A1D" w:rsidR="008F6B19" w:rsidRPr="002E1FE1" w:rsidRDefault="00D94F1C" w:rsidP="00D94F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sidR="007C55A6" w:rsidRPr="007C55A6">
              <w:rPr>
                <w:rFonts w:ascii="Times New Roman" w:eastAsia="Times New Roman" w:hAnsi="Times New Roman" w:cs="Times New Roman"/>
                <w:b/>
                <w:sz w:val="24"/>
                <w:szCs w:val="24"/>
              </w:rPr>
              <w:t>30230000-0</w:t>
            </w:r>
            <w:r w:rsidR="007C55A6">
              <w:rPr>
                <w:rFonts w:ascii="Times New Roman" w:eastAsia="Times New Roman" w:hAnsi="Times New Roman" w:cs="Times New Roman"/>
                <w:b/>
                <w:sz w:val="24"/>
                <w:szCs w:val="24"/>
              </w:rPr>
              <w:t xml:space="preserve"> «</w:t>
            </w:r>
            <w:r w:rsidR="007C55A6" w:rsidRPr="007C55A6">
              <w:rPr>
                <w:rFonts w:ascii="Times New Roman" w:eastAsia="Times New Roman" w:hAnsi="Times New Roman" w:cs="Times New Roman"/>
                <w:b/>
                <w:sz w:val="24"/>
                <w:szCs w:val="24"/>
              </w:rPr>
              <w:t>Комп'ютерне обладнання</w:t>
            </w:r>
            <w:r w:rsidR="007C55A6">
              <w:rPr>
                <w:rFonts w:ascii="Times New Roman" w:eastAsia="Times New Roman" w:hAnsi="Times New Roman" w:cs="Times New Roman"/>
                <w:b/>
                <w:sz w:val="24"/>
                <w:szCs w:val="24"/>
              </w:rPr>
              <w:t>»</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4AEE0C2A" w:rsidR="00FC27FA" w:rsidRDefault="007C55A6" w:rsidP="00FC27FA">
                  <w:pPr>
                    <w:spacing w:after="0" w:line="240" w:lineRule="auto"/>
                    <w:rPr>
                      <w:rFonts w:ascii="Times New Roman" w:eastAsia="Times New Roman" w:hAnsi="Times New Roman" w:cs="Times New Roman"/>
                    </w:rPr>
                  </w:pPr>
                  <w:r w:rsidRPr="007C55A6">
                    <w:rPr>
                      <w:rFonts w:ascii="Times New Roman" w:eastAsia="Times New Roman" w:hAnsi="Times New Roman" w:cs="Times New Roman"/>
                    </w:rPr>
                    <w:t>Плотер</w:t>
                  </w:r>
                </w:p>
                <w:p w14:paraId="2955958E" w14:textId="77777777" w:rsidR="007C55A6" w:rsidRPr="00FC27FA" w:rsidRDefault="007C55A6" w:rsidP="00FC27FA">
                  <w:pPr>
                    <w:spacing w:after="0" w:line="240" w:lineRule="auto"/>
                    <w:rPr>
                      <w:rFonts w:ascii="Times New Roman" w:eastAsia="Times New Roman" w:hAnsi="Times New Roman" w:cs="Times New Roman"/>
                    </w:rPr>
                  </w:pPr>
                </w:p>
                <w:p w14:paraId="2B9FB5C3" w14:textId="5AFD82FC" w:rsidR="00FC27FA" w:rsidRPr="00405E68" w:rsidRDefault="000F3DFC" w:rsidP="00FC2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ДК 021:2015 – </w:t>
                  </w:r>
                  <w:r w:rsidR="007C55A6" w:rsidRPr="007C55A6">
                    <w:rPr>
                      <w:rFonts w:ascii="Times New Roman" w:eastAsia="Times New Roman" w:hAnsi="Times New Roman" w:cs="Times New Roman"/>
                    </w:rPr>
                    <w:t>30230000-0</w:t>
                  </w:r>
                  <w:r w:rsidR="007C55A6">
                    <w:rPr>
                      <w:rFonts w:ascii="Times New Roman" w:eastAsia="Times New Roman" w:hAnsi="Times New Roman" w:cs="Times New Roman"/>
                    </w:rPr>
                    <w:t xml:space="preserve"> «</w:t>
                  </w:r>
                  <w:r w:rsidR="007C55A6" w:rsidRPr="007C55A6">
                    <w:rPr>
                      <w:rFonts w:ascii="Times New Roman" w:eastAsia="Times New Roman" w:hAnsi="Times New Roman" w:cs="Times New Roman"/>
                    </w:rPr>
                    <w:t>Комп'ютерне обладнання</w:t>
                  </w:r>
                  <w:r w:rsidR="007C55A6">
                    <w:rPr>
                      <w:rFonts w:ascii="Times New Roman" w:eastAsia="Times New Roman" w:hAnsi="Times New Roman" w:cs="Times New Roman"/>
                    </w:rPr>
                    <w:t>»</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1E6B30DF" w:rsidR="008F6B19" w:rsidRPr="00241409" w:rsidRDefault="007C55A6" w:rsidP="00FC27FA">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86 800,00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вісімдесят шість </w:t>
                  </w:r>
                  <w:r w:rsidR="00297B1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Pr>
                      <w:rFonts w:ascii="Times New Roman" w:eastAsia="Times New Roman" w:hAnsi="Times New Roman" w:cs="Times New Roman"/>
                      <w:color w:val="000000"/>
                      <w:szCs w:val="24"/>
                      <w:lang w:eastAsia="ru-RU"/>
                    </w:rPr>
                    <w:t xml:space="preserve"> </w:t>
                  </w:r>
                  <w:r w:rsidR="00405E68">
                    <w:rPr>
                      <w:rFonts w:ascii="Times New Roman" w:eastAsia="Times New Roman" w:hAnsi="Times New Roman" w:cs="Times New Roman"/>
                      <w:color w:val="000000"/>
                      <w:szCs w:val="24"/>
                      <w:lang w:eastAsia="ru-RU"/>
                    </w:rPr>
                    <w:t xml:space="preserve"> </w:t>
                  </w:r>
                  <w:r w:rsidR="00297B1A">
                    <w:rPr>
                      <w:rFonts w:ascii="Times New Roman" w:eastAsia="Times New Roman" w:hAnsi="Times New Roman" w:cs="Times New Roman"/>
                      <w:color w:val="000000"/>
                      <w:szCs w:val="24"/>
                      <w:lang w:eastAsia="ru-RU"/>
                    </w:rPr>
                    <w:t xml:space="preserve"> </w:t>
                  </w:r>
                  <w:r w:rsidR="00405E68">
                    <w:rPr>
                      <w:rFonts w:ascii="Times New Roman" w:eastAsia="Times New Roman" w:hAnsi="Times New Roman" w:cs="Times New Roman"/>
                      <w:color w:val="000000"/>
                      <w:szCs w:val="24"/>
                      <w:lang w:eastAsia="ru-RU"/>
                    </w:rPr>
                    <w:t xml:space="preserve">вісімсот </w:t>
                  </w:r>
                  <w:r w:rsidR="00EE4A2E">
                    <w:rPr>
                      <w:rFonts w:ascii="Times New Roman" w:eastAsia="Times New Roman" w:hAnsi="Times New Roman" w:cs="Times New Roman"/>
                      <w:color w:val="000000"/>
                      <w:szCs w:val="24"/>
                      <w:lang w:eastAsia="ru-RU"/>
                    </w:rPr>
                    <w:t xml:space="preserve"> </w:t>
                  </w:r>
                  <w:r w:rsidR="00297B1A">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301D5BD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w:t>
                  </w:r>
                  <w:r w:rsidR="005E5C22" w:rsidRPr="005E5C22">
                    <w:rPr>
                      <w:rFonts w:ascii="Times New Roman" w:eastAsia="Times New Roman" w:hAnsi="Times New Roman" w:cs="Times New Roman"/>
                    </w:rPr>
                    <w:t xml:space="preserve">не </w:t>
                  </w:r>
                  <w:r w:rsidR="00860154" w:rsidRPr="005E5C22">
                    <w:rPr>
                      <w:rFonts w:ascii="Times New Roman" w:eastAsia="Times New Roman" w:hAnsi="Times New Roman" w:cs="Times New Roman"/>
                    </w:rPr>
                    <w:t>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30A60B80"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005E5C22">
                    <w:rPr>
                      <w:rFonts w:ascii="Times New Roman" w:eastAsia="Times New Roman" w:hAnsi="Times New Roman" w:cs="Times New Roman"/>
                    </w:rPr>
                    <w:t>не</w:t>
                  </w:r>
                  <w:r w:rsidRPr="007651EE">
                    <w:rPr>
                      <w:rFonts w:ascii="Times New Roman" w:eastAsia="Times New Roman" w:hAnsi="Times New Roman" w:cs="Times New Roman"/>
                      <w:b/>
                    </w:rPr>
                    <w:t xml:space="preserve"> </w:t>
                  </w:r>
                  <w:bookmarkStart w:id="0" w:name="_GoBack"/>
                  <w:r w:rsidRPr="005E5C22">
                    <w:rPr>
                      <w:rFonts w:ascii="Times New Roman" w:eastAsia="Times New Roman" w:hAnsi="Times New Roman" w:cs="Times New Roman"/>
                    </w:rPr>
                    <w:t xml:space="preserve">вимагається </w:t>
                  </w:r>
                  <w:bookmarkEnd w:id="0"/>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1401" w14:textId="77777777" w:rsidR="006C5F9A" w:rsidRDefault="006C5F9A" w:rsidP="007D0B09">
      <w:pPr>
        <w:spacing w:after="0" w:line="240" w:lineRule="auto"/>
      </w:pPr>
      <w:r>
        <w:separator/>
      </w:r>
    </w:p>
  </w:endnote>
  <w:endnote w:type="continuationSeparator" w:id="0">
    <w:p w14:paraId="38335F0C" w14:textId="77777777" w:rsidR="006C5F9A" w:rsidRDefault="006C5F9A"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E958" w14:textId="77777777" w:rsidR="006C5F9A" w:rsidRDefault="006C5F9A" w:rsidP="007D0B09">
      <w:pPr>
        <w:spacing w:after="0" w:line="240" w:lineRule="auto"/>
      </w:pPr>
      <w:r>
        <w:separator/>
      </w:r>
    </w:p>
  </w:footnote>
  <w:footnote w:type="continuationSeparator" w:id="0">
    <w:p w14:paraId="3D687FFF" w14:textId="77777777" w:rsidR="006C5F9A" w:rsidRDefault="006C5F9A"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D30B0"/>
    <w:rsid w:val="001E3B0F"/>
    <w:rsid w:val="00207456"/>
    <w:rsid w:val="00224523"/>
    <w:rsid w:val="00241409"/>
    <w:rsid w:val="0024702F"/>
    <w:rsid w:val="00264A8F"/>
    <w:rsid w:val="00286505"/>
    <w:rsid w:val="00292110"/>
    <w:rsid w:val="002925FC"/>
    <w:rsid w:val="0029647C"/>
    <w:rsid w:val="00297B1A"/>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43A86"/>
    <w:rsid w:val="00550B1F"/>
    <w:rsid w:val="005625E6"/>
    <w:rsid w:val="005745CC"/>
    <w:rsid w:val="00590572"/>
    <w:rsid w:val="0059620C"/>
    <w:rsid w:val="005A3E6E"/>
    <w:rsid w:val="005A5D21"/>
    <w:rsid w:val="005B6DFF"/>
    <w:rsid w:val="005C36DC"/>
    <w:rsid w:val="005D3B29"/>
    <w:rsid w:val="005E5C22"/>
    <w:rsid w:val="00605B80"/>
    <w:rsid w:val="00607B95"/>
    <w:rsid w:val="00612767"/>
    <w:rsid w:val="0061398C"/>
    <w:rsid w:val="00623434"/>
    <w:rsid w:val="00655BFC"/>
    <w:rsid w:val="006628F8"/>
    <w:rsid w:val="006A1A7C"/>
    <w:rsid w:val="006C5F9A"/>
    <w:rsid w:val="006D10A8"/>
    <w:rsid w:val="006D709C"/>
    <w:rsid w:val="006E082D"/>
    <w:rsid w:val="006F27BB"/>
    <w:rsid w:val="00717DEB"/>
    <w:rsid w:val="00726399"/>
    <w:rsid w:val="00745061"/>
    <w:rsid w:val="007603FE"/>
    <w:rsid w:val="00761372"/>
    <w:rsid w:val="00766947"/>
    <w:rsid w:val="0077012F"/>
    <w:rsid w:val="00782E0E"/>
    <w:rsid w:val="007C3649"/>
    <w:rsid w:val="007C55A6"/>
    <w:rsid w:val="007C6971"/>
    <w:rsid w:val="007D0B09"/>
    <w:rsid w:val="007E7045"/>
    <w:rsid w:val="008216C2"/>
    <w:rsid w:val="00826D80"/>
    <w:rsid w:val="00841C13"/>
    <w:rsid w:val="00860154"/>
    <w:rsid w:val="008613F3"/>
    <w:rsid w:val="008B6ADB"/>
    <w:rsid w:val="008B7E73"/>
    <w:rsid w:val="008C14B8"/>
    <w:rsid w:val="008C446E"/>
    <w:rsid w:val="008D3444"/>
    <w:rsid w:val="008D7189"/>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A3B43"/>
    <w:rsid w:val="00CD422F"/>
    <w:rsid w:val="00CF6BDE"/>
    <w:rsid w:val="00D13337"/>
    <w:rsid w:val="00D25D1A"/>
    <w:rsid w:val="00D91871"/>
    <w:rsid w:val="00D94F1C"/>
    <w:rsid w:val="00DA1BA7"/>
    <w:rsid w:val="00DA6842"/>
    <w:rsid w:val="00DB2211"/>
    <w:rsid w:val="00DC15F5"/>
    <w:rsid w:val="00DC3589"/>
    <w:rsid w:val="00E020B4"/>
    <w:rsid w:val="00E3069A"/>
    <w:rsid w:val="00E35E22"/>
    <w:rsid w:val="00E50465"/>
    <w:rsid w:val="00E60737"/>
    <w:rsid w:val="00E8381E"/>
    <w:rsid w:val="00EB291C"/>
    <w:rsid w:val="00EC0AED"/>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65545"/>
    <w:rsid w:val="00F75D7E"/>
    <w:rsid w:val="00F77135"/>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72BD-BF1D-4339-A887-4FBEA9EF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3989</TotalTime>
  <Pages>15</Pages>
  <Words>19906</Words>
  <Characters>11347</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39</cp:revision>
  <dcterms:created xsi:type="dcterms:W3CDTF">2023-09-28T20:34:00Z</dcterms:created>
  <dcterms:modified xsi:type="dcterms:W3CDTF">2024-04-23T06:21:00Z</dcterms:modified>
</cp:coreProperties>
</file>