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436D5F" w:rsidRDefault="00436D5F" w:rsidP="00436D5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436D5F" w:rsidRPr="00306A24" w:rsidRDefault="00436D5F" w:rsidP="00436D5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DE3B70" w:rsidRPr="00DE3B70" w:rsidRDefault="00DE3B70" w:rsidP="00DE3B70">
      <w:pPr>
        <w:widowControl w:val="0"/>
        <w:suppressAutoHyphens/>
        <w:spacing w:line="240" w:lineRule="auto"/>
        <w:ind w:firstLine="851"/>
        <w:jc w:val="both"/>
        <w:rPr>
          <w:rFonts w:ascii="Times New Roman" w:eastAsia="DejaVu Sans" w:hAnsi="Times New Roman" w:cs="Times New Roman"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color w:val="auto"/>
          <w:kern w:val="2"/>
          <w:lang w:val="uk-UA" w:eastAsia="zh-CN" w:bidi="hi-IN"/>
        </w:rPr>
        <w:t>1.Номінальні характеристики асинхронних електродвигунів</w:t>
      </w:r>
    </w:p>
    <w:p w:rsidR="00DE3B70" w:rsidRPr="00DE3B70" w:rsidRDefault="00DE3B70" w:rsidP="00DE3B70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tbl>
      <w:tblPr>
        <w:tblW w:w="4500" w:type="pct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38"/>
        <w:gridCol w:w="2251"/>
        <w:gridCol w:w="2251"/>
        <w:gridCol w:w="2251"/>
      </w:tblGrid>
      <w:tr w:rsidR="00DE3B70" w:rsidRPr="00DE3B70" w:rsidTr="00AF58D5">
        <w:trPr>
          <w:trHeight w:val="579"/>
        </w:trPr>
        <w:tc>
          <w:tcPr>
            <w:tcW w:w="1288" w:type="pct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  <w:t>Найменування параметра</w:t>
            </w:r>
          </w:p>
        </w:tc>
        <w:tc>
          <w:tcPr>
            <w:tcW w:w="3712" w:type="pct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  <w:t>Норма</w:t>
            </w:r>
          </w:p>
        </w:tc>
      </w:tr>
      <w:tr w:rsidR="00DE3B70" w:rsidRPr="00DE3B70" w:rsidTr="00AF58D5">
        <w:trPr>
          <w:trHeight w:val="579"/>
        </w:trPr>
        <w:tc>
          <w:tcPr>
            <w:tcW w:w="1288" w:type="pct"/>
            <w:vMerge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2" w:type="pc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</w:pPr>
            <w:r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  <w:t>електродвигун АІ</w:t>
            </w:r>
            <w:r w:rsidRPr="00DE3B70"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  <w:t>Р 112МВ6 У2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  <w:t>електродвигун 4АМ100S4У3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</w:pPr>
            <w:bookmarkStart w:id="0" w:name="_GoBack"/>
            <w:r w:rsidRPr="00DE3B70"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  <w:t>електродвигун 4АМ90L4У3</w:t>
            </w:r>
            <w:bookmarkEnd w:id="0"/>
          </w:p>
        </w:tc>
      </w:tr>
      <w:tr w:rsidR="00DE3B70" w:rsidRPr="00DE3B70" w:rsidTr="00AF58D5">
        <w:trPr>
          <w:trHeight w:val="308"/>
        </w:trPr>
        <w:tc>
          <w:tcPr>
            <w:tcW w:w="1288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Потужність, кВт</w:t>
            </w:r>
          </w:p>
        </w:tc>
        <w:tc>
          <w:tcPr>
            <w:tcW w:w="1212" w:type="pc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4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3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2,2</w:t>
            </w:r>
          </w:p>
        </w:tc>
      </w:tr>
      <w:tr w:rsidR="00DE3B70" w:rsidRPr="00DE3B70" w:rsidTr="00AF58D5">
        <w:trPr>
          <w:trHeight w:val="284"/>
        </w:trPr>
        <w:tc>
          <w:tcPr>
            <w:tcW w:w="1288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Тип</w:t>
            </w:r>
          </w:p>
        </w:tc>
        <w:tc>
          <w:tcPr>
            <w:tcW w:w="1212" w:type="pc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загальнопромисловий трифазний асинхронний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загальнопромисловий трифазний асинхронний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загальнопромисловий трифазний асинхронний</w:t>
            </w:r>
          </w:p>
        </w:tc>
      </w:tr>
      <w:tr w:rsidR="00DE3B70" w:rsidRPr="00DE3B70" w:rsidTr="00AF58D5">
        <w:trPr>
          <w:trHeight w:val="274"/>
        </w:trPr>
        <w:tc>
          <w:tcPr>
            <w:tcW w:w="1288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Режим роботи</w:t>
            </w:r>
          </w:p>
        </w:tc>
        <w:tc>
          <w:tcPr>
            <w:tcW w:w="1212" w:type="pc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 xml:space="preserve">тривалий </w:t>
            </w: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en-US" w:eastAsia="zh-CN" w:bidi="hi-IN"/>
              </w:rPr>
              <w:t>S1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тривалий S1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тривалий S1</w:t>
            </w:r>
          </w:p>
        </w:tc>
      </w:tr>
      <w:tr w:rsidR="00DE3B70" w:rsidRPr="00DE3B70" w:rsidTr="00AF58D5">
        <w:trPr>
          <w:trHeight w:val="265"/>
        </w:trPr>
        <w:tc>
          <w:tcPr>
            <w:tcW w:w="1288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Швидкість обертання валу, об/</w:t>
            </w:r>
            <w:proofErr w:type="spellStart"/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хв</w:t>
            </w:r>
            <w:proofErr w:type="spellEnd"/>
          </w:p>
        </w:tc>
        <w:tc>
          <w:tcPr>
            <w:tcW w:w="1212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960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1470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1470</w:t>
            </w:r>
          </w:p>
        </w:tc>
      </w:tr>
      <w:tr w:rsidR="00DE3B70" w:rsidRPr="00DE3B70" w:rsidTr="00AF58D5">
        <w:trPr>
          <w:trHeight w:val="286"/>
        </w:trPr>
        <w:tc>
          <w:tcPr>
            <w:tcW w:w="1288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Термічний клас ізоляції обмоток</w:t>
            </w:r>
          </w:p>
        </w:tc>
        <w:tc>
          <w:tcPr>
            <w:tcW w:w="1212" w:type="pc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F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F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F</w:t>
            </w:r>
          </w:p>
        </w:tc>
      </w:tr>
      <w:tr w:rsidR="00DE3B70" w:rsidRPr="00DE3B70" w:rsidTr="00AF58D5">
        <w:trPr>
          <w:trHeight w:val="294"/>
        </w:trPr>
        <w:tc>
          <w:tcPr>
            <w:tcW w:w="1288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 xml:space="preserve">Напруга живлення, вольт </w:t>
            </w:r>
          </w:p>
        </w:tc>
        <w:tc>
          <w:tcPr>
            <w:tcW w:w="1212" w:type="pc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трифазне</w:t>
            </w:r>
          </w:p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220/380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трифазне</w:t>
            </w:r>
          </w:p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220/380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трифазне</w:t>
            </w:r>
          </w:p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220/380</w:t>
            </w:r>
          </w:p>
        </w:tc>
      </w:tr>
      <w:tr w:rsidR="00DE3B70" w:rsidRPr="00DE3B70" w:rsidTr="00AF58D5">
        <w:trPr>
          <w:trHeight w:val="294"/>
        </w:trPr>
        <w:tc>
          <w:tcPr>
            <w:tcW w:w="1288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Виконання лапи</w:t>
            </w:r>
          </w:p>
        </w:tc>
        <w:tc>
          <w:tcPr>
            <w:tcW w:w="1212" w:type="pc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монтажне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монтажне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монтажне</w:t>
            </w:r>
          </w:p>
        </w:tc>
      </w:tr>
      <w:tr w:rsidR="00DE3B70" w:rsidRPr="00DE3B70" w:rsidTr="00AF58D5">
        <w:trPr>
          <w:trHeight w:val="256"/>
        </w:trPr>
        <w:tc>
          <w:tcPr>
            <w:tcW w:w="1288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Номінальний струм, А</w:t>
            </w:r>
          </w:p>
        </w:tc>
        <w:tc>
          <w:tcPr>
            <w:tcW w:w="1212" w:type="pc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9,75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6,7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5,1</w:t>
            </w:r>
          </w:p>
        </w:tc>
      </w:tr>
      <w:tr w:rsidR="00DE3B70" w:rsidRPr="00DE3B70" w:rsidTr="00AF58D5">
        <w:trPr>
          <w:trHeight w:val="261"/>
        </w:trPr>
        <w:tc>
          <w:tcPr>
            <w:tcW w:w="1288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ККД, %</w:t>
            </w:r>
          </w:p>
        </w:tc>
        <w:tc>
          <w:tcPr>
            <w:tcW w:w="1212" w:type="pc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83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82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81</w:t>
            </w:r>
          </w:p>
        </w:tc>
      </w:tr>
      <w:tr w:rsidR="00DE3B70" w:rsidRPr="00DE3B70" w:rsidTr="00AF58D5">
        <w:trPr>
          <w:trHeight w:val="250"/>
        </w:trPr>
        <w:tc>
          <w:tcPr>
            <w:tcW w:w="1288" w:type="pct"/>
            <w:shd w:val="clear" w:color="auto" w:fill="auto"/>
            <w:tcMar>
              <w:left w:w="83" w:type="dxa"/>
            </w:tcMar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 xml:space="preserve">Маса </w:t>
            </w:r>
            <w:proofErr w:type="spellStart"/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ел</w:t>
            </w:r>
            <w:proofErr w:type="spellEnd"/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. двигуна, кг.</w:t>
            </w:r>
          </w:p>
        </w:tc>
        <w:tc>
          <w:tcPr>
            <w:tcW w:w="1212" w:type="pct"/>
            <w:shd w:val="clear" w:color="auto" w:fill="auto"/>
            <w:tcMar>
              <w:left w:w="83" w:type="dxa"/>
            </w:tcMar>
            <w:vAlign w:val="center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50</w:t>
            </w:r>
          </w:p>
        </w:tc>
        <w:tc>
          <w:tcPr>
            <w:tcW w:w="1212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30</w:t>
            </w:r>
          </w:p>
        </w:tc>
        <w:tc>
          <w:tcPr>
            <w:tcW w:w="1288" w:type="pct"/>
          </w:tcPr>
          <w:p w:rsidR="00DE3B70" w:rsidRPr="00DE3B70" w:rsidRDefault="00DE3B70" w:rsidP="00DE3B7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DE3B70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22,5</w:t>
            </w:r>
          </w:p>
        </w:tc>
      </w:tr>
    </w:tbl>
    <w:p w:rsidR="00DE3B70" w:rsidRPr="00DE3B70" w:rsidRDefault="00DE3B70" w:rsidP="00DE3B70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DE3B70" w:rsidRPr="00DE3B70" w:rsidRDefault="00DE3B70" w:rsidP="00DE3B70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         2.Ремонт асинхронноих електродвигунів повинен включати в себе: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2.1.Виїмка старих / пошкоджених обмоток, ізоляції.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2.2.Перевірка активної частини статора на відсутність замикання між пластинами.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2.3.Розрахунок даних по обмотці.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2.4.Намотування, укладання котушок.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2.5.З'єднання котушок в схему за допомогою зварювання / пайки.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2.6.Покриття (просочення) електротехнічним лаком або компаундом (клас  ізоляції  B, F, H), потім - сушка в печі.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2.7.Перевірка опору о</w:t>
      </w:r>
      <w:r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бмотки статора відносно корпуса, Мом.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2.8.Випробування ізоляції обмотки статора відносно корпуса на електричну міцність. 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2.9.Випробування міжвиткової  ізоляції обмотки статора на електричну міцність.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2.10. Збирання, перевірка працездатності.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2.11.Випробування електродвигуна на холостому ходу.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2.12.Фарбування електродвигуна (на вимогу Замовника). 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        </w:t>
      </w: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3.Вимоги до Виконавця:</w:t>
      </w:r>
    </w:p>
    <w:p w:rsidR="00DE3B70" w:rsidRPr="00DE3B70" w:rsidRDefault="00DE3B70" w:rsidP="00DE3B70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3.1.Ремонт електродвигунів повинен здійснюватися з матеріалів Виконавця.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3.2.</w:t>
      </w:r>
      <w:r w:rsidRPr="00DE3B70">
        <w:rPr>
          <w:rFonts w:ascii="Times New Roman" w:eastAsia="DejaVu Sans" w:hAnsi="Times New Roman" w:cs="FreeSans"/>
          <w:color w:val="auto"/>
          <w:kern w:val="2"/>
          <w:lang w:eastAsia="zh-CN" w:bidi="hi-IN"/>
        </w:rPr>
        <w:t xml:space="preserve"> </w:t>
      </w: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Виконавець повинен мати працівників відповідної кваліфікації для виконання послуг по предмету закупівлі.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3.3.</w:t>
      </w:r>
      <w:r w:rsidRPr="00DE3B70">
        <w:rPr>
          <w:rFonts w:ascii="Times New Roman" w:eastAsia="DejaVu Sans" w:hAnsi="Times New Roman" w:cs="FreeSans"/>
          <w:color w:val="auto"/>
          <w:kern w:val="2"/>
          <w:lang w:eastAsia="zh-CN" w:bidi="hi-IN"/>
        </w:rPr>
        <w:t xml:space="preserve"> </w:t>
      </w: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Виконавець гарантує якість наданих послуг в момент їх приймання Замовником, а також </w:t>
      </w: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lastRenderedPageBreak/>
        <w:t xml:space="preserve">протягом усього гарантійного терміну. 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Гарантійний термін на послуги  з ремонту повинен складати не менше 6 (шести) місяців з дати підписання акту виконаних робіт. 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У разі виходу з ладу електродвигуна на протязі гарантійного терміну експлуатації  не з вини Замовника,  Виконавець  повинен у термін 5 (п’яти)  робочих днів за свій рахунок усунути виявлені недоліки.</w:t>
      </w:r>
    </w:p>
    <w:p w:rsidR="00DE3B70" w:rsidRPr="00DE3B70" w:rsidRDefault="00DE3B70" w:rsidP="00DE3B70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FreeSans"/>
          <w:color w:val="auto"/>
          <w:kern w:val="2"/>
          <w:lang w:val="uk-UA" w:eastAsia="zh-CN" w:bidi="hi-IN"/>
        </w:rPr>
      </w:pPr>
      <w:r w:rsidRPr="00DE3B70">
        <w:rPr>
          <w:rFonts w:ascii="Times New Roman" w:eastAsia="DejaVu Sans" w:hAnsi="Times New Roman" w:cs="Times New Roman"/>
          <w:color w:val="auto"/>
          <w:kern w:val="2"/>
          <w:lang w:val="uk-UA" w:eastAsia="zh-CN" w:bidi="hi-IN"/>
        </w:rPr>
        <w:t>3.</w:t>
      </w:r>
      <w:r>
        <w:rPr>
          <w:rFonts w:ascii="Times New Roman" w:eastAsia="DejaVu Sans" w:hAnsi="Times New Roman" w:cs="FreeSans"/>
          <w:color w:val="auto"/>
          <w:kern w:val="2"/>
          <w:lang w:val="uk-UA" w:eastAsia="zh-CN" w:bidi="hi-IN"/>
        </w:rPr>
        <w:t>4</w:t>
      </w:r>
      <w:r w:rsidRPr="00DE3B70">
        <w:rPr>
          <w:rFonts w:ascii="Times New Roman" w:eastAsia="DejaVu Sans" w:hAnsi="Times New Roman" w:cs="FreeSans"/>
          <w:color w:val="auto"/>
          <w:kern w:val="2"/>
          <w:lang w:val="uk-UA" w:eastAsia="zh-CN" w:bidi="hi-IN"/>
        </w:rPr>
        <w:t>.При наданні послуг Виконавець застосовує заходи щодо захисту довкілля, передбачені     законодавством.</w:t>
      </w:r>
    </w:p>
    <w:p w:rsidR="00DE3B70" w:rsidRPr="00DE3B70" w:rsidRDefault="00DE3B70" w:rsidP="00DE3B70">
      <w:pPr>
        <w:widowControl w:val="0"/>
        <w:suppressAutoHyphens/>
        <w:spacing w:line="240" w:lineRule="auto"/>
        <w:ind w:firstLine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5F249A" w:rsidRDefault="005F249A" w:rsidP="005F249A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5F249A" w:rsidRDefault="005F249A" w:rsidP="005F249A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436D5F" w:rsidRPr="006D3E44" w:rsidRDefault="00436D5F" w:rsidP="00436D5F">
      <w:pPr>
        <w:widowControl w:val="0"/>
        <w:suppressAutoHyphens/>
        <w:spacing w:line="288" w:lineRule="auto"/>
        <w:ind w:left="-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6D3E44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6D3E44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.</w:t>
      </w:r>
    </w:p>
    <w:p w:rsidR="002D0BC7" w:rsidRPr="00436D5F" w:rsidRDefault="002D0BC7">
      <w:pPr>
        <w:rPr>
          <w:lang w:val="uk-UA"/>
        </w:rPr>
      </w:pPr>
    </w:p>
    <w:sectPr w:rsidR="002D0BC7" w:rsidRPr="0043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2D0BC7"/>
    <w:rsid w:val="00436D5F"/>
    <w:rsid w:val="005B0B64"/>
    <w:rsid w:val="005F249A"/>
    <w:rsid w:val="00826BC2"/>
    <w:rsid w:val="00985C90"/>
    <w:rsid w:val="00B5464A"/>
    <w:rsid w:val="00D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2023-02-01T12:33:00Z</cp:lastPrinted>
  <dcterms:created xsi:type="dcterms:W3CDTF">2023-02-02T07:31:00Z</dcterms:created>
  <dcterms:modified xsi:type="dcterms:W3CDTF">2023-02-02T07:56:00Z</dcterms:modified>
</cp:coreProperties>
</file>