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67"/>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firstLine="567"/>
        <w:jc w:val="right"/>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«ЗАТВЕРДЖЕНО»</w:t>
      </w:r>
    </w:p>
    <w:p>
      <w:pPr>
        <w:pStyle w:val="Normal"/>
        <w:spacing w:lineRule="auto" w:line="240" w:before="0" w:after="0"/>
        <w:ind w:firstLine="567"/>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Протоколом Уповноваженої особи №  б/н</w:t>
      </w:r>
    </w:p>
    <w:p>
      <w:pPr>
        <w:pStyle w:val="Normal"/>
        <w:spacing w:lineRule="auto" w:line="240" w:before="0" w:after="0"/>
        <w:ind w:firstLine="567"/>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 «29» серпня 2022 року</w:t>
      </w:r>
    </w:p>
    <w:p>
      <w:pPr>
        <w:pStyle w:val="Normal"/>
        <w:spacing w:lineRule="auto" w:line="240" w:before="0" w:after="0"/>
        <w:ind w:firstLine="567"/>
        <w:jc w:val="right"/>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________________</w:t>
      </w:r>
      <w:r>
        <w:rPr>
          <w:rFonts w:eastAsia="Times New Roman" w:cs="Times New Roman" w:ascii="Times New Roman" w:hAnsi="Times New Roman"/>
          <w:color w:val="000000"/>
          <w:kern w:val="0"/>
          <w:sz w:val="24"/>
          <w:szCs w:val="24"/>
          <w:lang w:val="uk-UA" w:eastAsia="ru-RU" w:bidi="ar-SA"/>
        </w:rPr>
        <w:t>Людмила Мочульська</w:t>
      </w:r>
    </w:p>
    <w:p>
      <w:pPr>
        <w:pStyle w:val="Normal"/>
        <w:spacing w:lineRule="auto" w:line="240" w:before="0" w:after="0"/>
        <w:ind w:firstLine="567"/>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firstLine="567"/>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w:t>
      </w:r>
      <w:r>
        <w:rPr>
          <w:rFonts w:eastAsia="Times New Roman" w:cs="Times New Roman" w:ascii="Times New Roman" w:hAnsi="Times New Roman"/>
          <w:b/>
          <w:color w:val="000000"/>
          <w:sz w:val="24"/>
          <w:szCs w:val="24"/>
        </w:rPr>
        <w:t>ОГОЛОШЕННЯ ПРО ПРОВЕДЕННЯ СПРОЩЕНОЇ ЗАКУПІВЛІ</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 </w:t>
      </w:r>
      <w:r>
        <w:rPr>
          <w:rFonts w:eastAsia="Times New Roman" w:cs="Times New Roman" w:ascii="Times New Roman" w:hAnsi="Times New Roman"/>
          <w:b/>
          <w:color w:val="000000"/>
          <w:sz w:val="24"/>
          <w:szCs w:val="24"/>
        </w:rPr>
        <w:t>Комунальне підприємство «</w:t>
      </w:r>
      <w:r>
        <w:rPr>
          <w:rFonts w:eastAsia="Times New Roman" w:cs="Times New Roman" w:ascii="Times New Roman" w:hAnsi="Times New Roman"/>
          <w:b/>
          <w:color w:val="000000"/>
          <w:kern w:val="0"/>
          <w:sz w:val="24"/>
          <w:szCs w:val="24"/>
          <w:lang w:val="uk-UA" w:eastAsia="ru-RU" w:bidi="ar-SA"/>
        </w:rPr>
        <w:t>Сокальжитлокомунсервіс</w:t>
      </w:r>
      <w:r>
        <w:rPr>
          <w:rFonts w:eastAsia="Times New Roman" w:cs="Times New Roman" w:ascii="Times New Roman" w:hAnsi="Times New Roman"/>
          <w:b/>
          <w:color w:val="000000"/>
          <w:sz w:val="24"/>
          <w:szCs w:val="24"/>
        </w:rPr>
        <w:t xml:space="preserve">» </w:t>
      </w:r>
      <w:r>
        <w:rPr>
          <w:rFonts w:eastAsia="Calibri" w:cs="Times New Roman CYR" w:ascii="Times New Roman CYR" w:hAnsi="Times New Roman CYR"/>
          <w:b w:val="false"/>
          <w:bCs w:val="false"/>
          <w:i w:val="false"/>
          <w:iCs w:val="false"/>
          <w:strike w:val="false"/>
          <w:dstrike w:val="false"/>
          <w:outline w:val="false"/>
          <w:shadow w:val="false"/>
          <w:color w:val="000000"/>
          <w:sz w:val="24"/>
          <w:szCs w:val="24"/>
          <w:u w:val="none"/>
          <w:lang w:val="uk-UA" w:eastAsia="zh-CN"/>
        </w:rPr>
        <w:t>Вул. Героїв УПА, 11,  м. Сокаль, Львівська обл., 80001</w:t>
      </w:r>
      <w:r>
        <w:rPr>
          <w:rFonts w:eastAsia="Times New Roman" w:cs="Times New Roman" w:ascii="Times New Roman" w:hAnsi="Times New Roman"/>
          <w:b/>
          <w:color w:val="000000"/>
          <w:sz w:val="24"/>
          <w:szCs w:val="24"/>
        </w:rPr>
        <w:t xml:space="preserve"> </w:t>
      </w:r>
      <w:r>
        <w:rPr>
          <w:rFonts w:ascii="Times New Roman" w:hAnsi="Times New Roman"/>
          <w:sz w:val="24"/>
          <w:szCs w:val="24"/>
        </w:rPr>
        <w:t xml:space="preserve">, Код </w:t>
      </w:r>
      <w:r>
        <w:rPr>
          <w:rFonts w:eastAsia="Nimbus Roman No9 L" w:ascii="Times New Roman" w:hAnsi="Times New Roman"/>
          <w:sz w:val="24"/>
          <w:szCs w:val="24"/>
        </w:rPr>
        <w:t>ЄДРПОУ </w:t>
      </w:r>
      <w:r>
        <w:rPr>
          <w:rFonts w:eastAsia="Nimbus Roman No9 L" w:ascii="Times New Roman" w:hAnsi="Times New Roman"/>
          <w:color w:val="000000"/>
          <w:sz w:val="24"/>
          <w:szCs w:val="24"/>
          <w:lang w:val="uk-UA"/>
        </w:rPr>
        <w:t>31963156</w:t>
      </w:r>
      <w:r>
        <w:rPr>
          <w:rFonts w:eastAsia="Nimbus Roman No9 L" w:ascii="Times New Roman" w:hAnsi="Times New Roman"/>
          <w:sz w:val="24"/>
          <w:szCs w:val="24"/>
        </w:rPr>
        <w:t xml:space="preserve">, категорія замовника:  </w:t>
      </w:r>
      <w:r>
        <w:rPr>
          <w:rFonts w:eastAsia="Nimbus Roman No9 L" w:ascii="Times New Roman" w:hAnsi="Times New Roman"/>
          <w:sz w:val="24"/>
          <w:szCs w:val="24"/>
          <w:lang w:val="uk-UA"/>
        </w:rPr>
        <w:t>підприємства,</w:t>
      </w:r>
      <w:r>
        <w:rPr>
          <w:rFonts w:eastAsia="Nimbus Roman No9 L" w:ascii="Times New Roman" w:hAnsi="Times New Roman"/>
          <w:spacing w:val="1"/>
          <w:sz w:val="24"/>
          <w:szCs w:val="24"/>
          <w:lang w:val="uk-UA"/>
        </w:rPr>
        <w:t xml:space="preserve"> </w:t>
      </w:r>
      <w:r>
        <w:rPr>
          <w:rFonts w:eastAsia="Nimbus Roman No9 L" w:ascii="Times New Roman" w:hAnsi="Times New Roman"/>
          <w:sz w:val="24"/>
          <w:szCs w:val="24"/>
          <w:lang w:val="uk-UA"/>
        </w:rPr>
        <w:t>установи, організації,</w:t>
      </w:r>
      <w:r>
        <w:rPr>
          <w:rFonts w:eastAsia="Nimbus Roman No9 L" w:ascii="Times New Roman" w:hAnsi="Times New Roman"/>
          <w:spacing w:val="1"/>
          <w:sz w:val="24"/>
          <w:szCs w:val="24"/>
          <w:lang w:val="uk-UA"/>
        </w:rPr>
        <w:t xml:space="preserve"> </w:t>
      </w:r>
      <w:r>
        <w:rPr>
          <w:rFonts w:eastAsia="Nimbus Roman No9 L" w:ascii="Times New Roman" w:hAnsi="Times New Roman"/>
          <w:sz w:val="24"/>
          <w:szCs w:val="24"/>
          <w:lang w:val="uk-UA"/>
        </w:rPr>
        <w:t>зазначені у</w:t>
      </w:r>
      <w:r>
        <w:rPr>
          <w:rFonts w:eastAsia="Nimbus Roman No9 L" w:ascii="Times New Roman" w:hAnsi="Times New Roman"/>
          <w:spacing w:val="1"/>
          <w:sz w:val="24"/>
          <w:szCs w:val="24"/>
          <w:lang w:val="uk-UA"/>
        </w:rPr>
        <w:t xml:space="preserve"> </w:t>
      </w:r>
      <w:r>
        <w:fldChar w:fldCharType="begin"/>
      </w:r>
      <w:r>
        <w:rPr>
          <w:sz w:val="24"/>
          <w:szCs w:val="24"/>
          <w:rFonts w:eastAsia="Nimbus Roman No9 L" w:ascii="Times New Roman" w:hAnsi="Times New Roman"/>
          <w:lang w:val="uk-UA"/>
        </w:rPr>
        <w:instrText> HYPERLINK "https://zakon.rada.gov.ua/laws/show/922-19" \l "n797"</w:instrText>
      </w:r>
      <w:r>
        <w:rPr>
          <w:sz w:val="24"/>
          <w:szCs w:val="24"/>
          <w:rFonts w:eastAsia="Nimbus Roman No9 L" w:ascii="Times New Roman" w:hAnsi="Times New Roman"/>
          <w:lang w:val="uk-UA"/>
        </w:rPr>
        <w:fldChar w:fldCharType="separate"/>
      </w:r>
      <w:r>
        <w:rPr>
          <w:rFonts w:eastAsia="Nimbus Roman No9 L" w:ascii="Times New Roman" w:hAnsi="Times New Roman"/>
          <w:sz w:val="24"/>
          <w:szCs w:val="24"/>
          <w:lang w:val="uk-UA"/>
        </w:rPr>
        <w:t>пункті 3</w:t>
      </w:r>
      <w:r>
        <w:rPr>
          <w:sz w:val="24"/>
          <w:szCs w:val="24"/>
          <w:rFonts w:eastAsia="Nimbus Roman No9 L" w:ascii="Times New Roman" w:hAnsi="Times New Roman"/>
          <w:lang w:val="uk-UA"/>
        </w:rPr>
        <w:fldChar w:fldCharType="end"/>
      </w:r>
      <w:r>
        <w:rPr>
          <w:rFonts w:eastAsia="Nimbus Roman No9 L" w:ascii="Times New Roman" w:hAnsi="Times New Roman"/>
          <w:spacing w:val="1"/>
          <w:sz w:val="24"/>
          <w:szCs w:val="24"/>
          <w:lang w:val="uk-UA"/>
        </w:rPr>
        <w:t xml:space="preserve"> </w:t>
      </w:r>
      <w:r>
        <w:rPr>
          <w:rFonts w:eastAsia="Nimbus Roman No9 L" w:ascii="Times New Roman" w:hAnsi="Times New Roman"/>
          <w:sz w:val="24"/>
          <w:szCs w:val="24"/>
          <w:lang w:val="uk-UA"/>
        </w:rPr>
        <w:t>частини</w:t>
      </w:r>
      <w:r>
        <w:rPr>
          <w:rFonts w:eastAsia="Nimbus Roman No9 L" w:ascii="Times New Roman" w:hAnsi="Times New Roman"/>
          <w:spacing w:val="-57"/>
          <w:sz w:val="24"/>
          <w:szCs w:val="24"/>
          <w:lang w:val="uk-UA"/>
        </w:rPr>
        <w:t xml:space="preserve"> </w:t>
      </w:r>
      <w:r>
        <w:rPr>
          <w:rFonts w:eastAsia="Nimbus Roman No9 L" w:ascii="Times New Roman" w:hAnsi="Times New Roman"/>
          <w:sz w:val="24"/>
          <w:szCs w:val="24"/>
          <w:lang w:val="uk-UA"/>
        </w:rPr>
        <w:t>першої</w:t>
      </w:r>
      <w:r>
        <w:rPr>
          <w:rFonts w:eastAsia="Nimbus Roman No9 L" w:ascii="Times New Roman" w:hAnsi="Times New Roman"/>
          <w:spacing w:val="-7"/>
          <w:sz w:val="24"/>
          <w:szCs w:val="24"/>
          <w:lang w:val="uk-UA"/>
        </w:rPr>
        <w:t xml:space="preserve"> </w:t>
      </w:r>
      <w:r>
        <w:rPr>
          <w:rFonts w:eastAsia="Nimbus Roman No9 L" w:ascii="Times New Roman" w:hAnsi="Times New Roman"/>
          <w:sz w:val="24"/>
          <w:szCs w:val="24"/>
          <w:lang w:val="uk-UA"/>
        </w:rPr>
        <w:t>статті</w:t>
      </w:r>
      <w:r>
        <w:rPr>
          <w:rFonts w:eastAsia="Nimbus Roman No9 L" w:ascii="Times New Roman" w:hAnsi="Times New Roman"/>
          <w:spacing w:val="-7"/>
          <w:sz w:val="24"/>
          <w:szCs w:val="24"/>
          <w:lang w:val="uk-UA"/>
        </w:rPr>
        <w:t xml:space="preserve"> </w:t>
      </w:r>
      <w:r>
        <w:rPr>
          <w:rFonts w:eastAsia="Nimbus Roman No9 L" w:ascii="Times New Roman" w:hAnsi="Times New Roman"/>
          <w:sz w:val="24"/>
          <w:szCs w:val="24"/>
          <w:lang w:val="uk-UA"/>
        </w:rPr>
        <w:t>2</w:t>
      </w:r>
      <w:r>
        <w:rPr>
          <w:rFonts w:eastAsia="Nimbus Roman No9 L" w:ascii="Times New Roman" w:hAnsi="Times New Roman"/>
          <w:spacing w:val="2"/>
          <w:sz w:val="24"/>
          <w:szCs w:val="24"/>
          <w:lang w:val="uk-UA"/>
        </w:rPr>
        <w:t xml:space="preserve"> </w:t>
      </w:r>
      <w:r>
        <w:rPr>
          <w:rFonts w:eastAsia="Nimbus Roman No9 L" w:ascii="Times New Roman" w:hAnsi="Times New Roman"/>
          <w:sz w:val="24"/>
          <w:szCs w:val="24"/>
          <w:lang w:val="uk-UA"/>
        </w:rPr>
        <w:t>Закону.</w:t>
      </w:r>
    </w:p>
    <w:p>
      <w:pPr>
        <w:pStyle w:val="Normal"/>
        <w:spacing w:lineRule="auto" w:line="240" w:before="0" w:after="0"/>
        <w:ind w:hanging="0"/>
        <w:jc w:val="both"/>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 xml:space="preserve">2. Уповноважена особа замовника : </w:t>
      </w: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lang w:val="uk-UA"/>
        </w:rPr>
        <w:t xml:space="preserve">Мочульська Людмила Олегівна, </w:t>
      </w:r>
      <w:r>
        <w:rPr>
          <w:rFonts w:eastAsia="Calibri" w:cs="Times New Roman" w:ascii="Times New Roman" w:hAnsi="Times New Roman"/>
          <w:b w:val="false"/>
          <w:bCs w:val="false"/>
          <w:i w:val="false"/>
          <w:iCs w:val="false"/>
          <w:strike w:val="false"/>
          <w:dstrike w:val="false"/>
          <w:outline w:val="false"/>
          <w:shadow w:val="false"/>
          <w:color w:val="000000"/>
          <w:sz w:val="24"/>
          <w:szCs w:val="24"/>
          <w:u w:val="none"/>
          <w:lang w:val="uk-UA" w:eastAsia="ru-RU"/>
        </w:rPr>
        <w:t xml:space="preserve">Уповноважена особа, </w:t>
      </w:r>
      <w:r>
        <w:rPr>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lang w:val="uk-UA"/>
        </w:rPr>
        <w:t xml:space="preserve"> провідний інженер планово – виробничого відділу  Комунального підприємства “Сокальжитлокомунсервіс”. </w:t>
      </w:r>
      <w:r>
        <w:rPr>
          <w:rFonts w:eastAsia="Calibri" w:cs="Times New Roman" w:ascii="Times New Roman" w:hAnsi="Times New Roman"/>
          <w:b w:val="false"/>
          <w:bCs w:val="false"/>
          <w:i w:val="false"/>
          <w:iCs w:val="false"/>
          <w:strike w:val="false"/>
          <w:dstrike w:val="false"/>
          <w:outline w:val="false"/>
          <w:shadow w:val="false"/>
          <w:color w:val="000000"/>
          <w:sz w:val="24"/>
          <w:szCs w:val="24"/>
          <w:u w:val="none"/>
          <w:lang w:val="uk-UA" w:eastAsia="ru-RU"/>
        </w:rPr>
        <w:t xml:space="preserve">Вул. Героїв УПА 11, м. Сокаль, Львівська обл., 80001, </w:t>
      </w:r>
      <w:r>
        <w:rPr>
          <w:rStyle w:val="Style10"/>
          <w:rFonts w:eastAsia="Calibri" w:cs="Times New Roman" w:ascii="Times New Roman" w:hAnsi="Times New Roman"/>
          <w:b w:val="false"/>
          <w:bCs w:val="false"/>
          <w:i w:val="false"/>
          <w:iCs w:val="false"/>
          <w:strike w:val="false"/>
          <w:dstrike w:val="false"/>
          <w:outline w:val="false"/>
          <w:shadow w:val="false"/>
          <w:color w:val="000000"/>
          <w:sz w:val="24"/>
          <w:szCs w:val="24"/>
          <w:u w:val="none"/>
          <w:lang w:val="uk-UA" w:eastAsia="ru-RU"/>
        </w:rPr>
        <w:t xml:space="preserve">тел. +380325773757, </w:t>
      </w:r>
      <w:r>
        <w:rPr>
          <w:rStyle w:val="Style10"/>
          <w:rFonts w:eastAsia="Calibri" w:cs="Times New Roman" w:ascii="Times New Roman" w:hAnsi="Times New Roman"/>
          <w:b w:val="false"/>
          <w:bCs w:val="false"/>
          <w:i w:val="false"/>
          <w:iCs w:val="false"/>
          <w:strike w:val="false"/>
          <w:dstrike w:val="false"/>
          <w:outline w:val="false"/>
          <w:shadow w:val="false"/>
          <w:color w:val="00000A"/>
          <w:sz w:val="24"/>
          <w:szCs w:val="24"/>
          <w:u w:val="none"/>
          <w:lang w:val="uk-UA" w:eastAsia="ru-RU"/>
        </w:rPr>
        <w:t xml:space="preserve">e-mail: </w:t>
      </w:r>
      <w:r>
        <w:rPr>
          <w:rStyle w:val="Style10"/>
          <w:rFonts w:eastAsia="Calibri" w:cs="Times New Roman" w:ascii="Times New Roman" w:hAnsi="Times New Roman"/>
          <w:b w:val="false"/>
          <w:bCs w:val="false"/>
          <w:i w:val="false"/>
          <w:iCs w:val="false"/>
          <w:strike w:val="false"/>
          <w:dstrike w:val="false"/>
          <w:outline w:val="false"/>
          <w:shadow w:val="false"/>
          <w:color w:val="000000"/>
          <w:sz w:val="24"/>
          <w:szCs w:val="24"/>
          <w:u w:val="none"/>
          <w:lang w:val="uk-UA" w:eastAsia="ru-RU"/>
        </w:rPr>
        <w:t xml:space="preserve"> </w:t>
      </w:r>
      <w:hyperlink r:id="rId2">
        <w:r>
          <w:rPr>
            <w:rFonts w:eastAsia="Calibri" w:cs="Times New Roman" w:ascii="Times New Roman" w:hAnsi="Times New Roman"/>
            <w:b w:val="false"/>
            <w:bCs w:val="false"/>
            <w:i w:val="false"/>
            <w:iCs w:val="false"/>
            <w:strike w:val="false"/>
            <w:dstrike w:val="false"/>
            <w:outline w:val="false"/>
            <w:shadow w:val="false"/>
            <w:color w:val="000000"/>
            <w:sz w:val="24"/>
            <w:szCs w:val="24"/>
            <w:u w:val="none"/>
            <w:lang w:val="uk-UA" w:eastAsia="ru-RU"/>
          </w:rPr>
          <w:t>sokalszks@ukr.ne</w:t>
        </w:r>
        <w:r>
          <w:rPr>
            <w:rFonts w:eastAsia="Calibri" w:cs="Times New Roman" w:ascii="Times New Roman" w:hAnsi="Times New Roman"/>
            <w:b w:val="false"/>
            <w:bCs w:val="false"/>
            <w:i w:val="false"/>
            <w:iCs w:val="false"/>
            <w:strike w:val="false"/>
            <w:dstrike w:val="false"/>
            <w:outline w:val="false"/>
            <w:shadow w:val="false"/>
            <w:color w:val="000000"/>
            <w:sz w:val="24"/>
            <w:szCs w:val="24"/>
            <w:u w:val="none"/>
            <w:lang w:val="en-US" w:eastAsia="ru-RU"/>
          </w:rPr>
          <w:t>t</w:t>
        </w:r>
      </w:hyperlink>
    </w:p>
    <w:p>
      <w:pPr>
        <w:pStyle w:val="Normal"/>
        <w:spacing w:lineRule="auto" w:line="240" w:before="0" w:after="0"/>
        <w:ind w:firstLine="567"/>
        <w:jc w:val="both"/>
        <w:rPr>
          <w:rFonts w:ascii="Times New Roman" w:hAnsi="Times New Roman" w:eastAsia="Times New Roman" w:cs="Times New Roman"/>
          <w:sz w:val="24"/>
          <w:szCs w:val="24"/>
        </w:rPr>
      </w:pPr>
      <w:r>
        <w:rPr>
          <w:rStyle w:val="Style10"/>
          <w:rFonts w:eastAsia="Times New Roman" w:cs="Times New Roman" w:ascii="Times New Roman" w:hAnsi="Times New Roman"/>
          <w:b w:val="false"/>
          <w:bCs w:val="false"/>
          <w:i w:val="false"/>
          <w:iCs w:val="false"/>
          <w:strike w:val="false"/>
          <w:dstrike w:val="false"/>
          <w:outline w:val="false"/>
          <w:shadow w:val="false"/>
          <w:color w:val="000000"/>
          <w:sz w:val="24"/>
          <w:szCs w:val="24"/>
          <w:u w:val="none"/>
          <w:lang w:val="uk-UA" w:eastAsia="ru-RU"/>
        </w:rPr>
        <w:t xml:space="preserve">3. </w:t>
      </w:r>
      <w:r>
        <w:rPr>
          <w:rStyle w:val="Style10"/>
          <w:rFonts w:eastAsia="Calibri" w:cs="Times New Roman" w:ascii="Times New Roman" w:hAnsi="Times New Roman"/>
          <w:b/>
          <w:bCs w:val="false"/>
          <w:i w:val="false"/>
          <w:iCs w:val="false"/>
          <w:strike w:val="false"/>
          <w:dstrike w:val="false"/>
          <w:outline w:val="false"/>
          <w:shadow w:val="false"/>
          <w:color w:val="000000"/>
          <w:sz w:val="24"/>
          <w:szCs w:val="24"/>
          <w:u w:val="none"/>
          <w:lang w:val="uk-UA" w:eastAsia="ru-RU"/>
        </w:rPr>
        <w:t>ДК 021:2015 44110000-4 – Конструкційні матеріали</w:t>
      </w:r>
      <w:r>
        <w:rPr>
          <w:rStyle w:val="Style10"/>
          <w:rFonts w:eastAsia="Times New Roman" w:cs="Times New Roman" w:ascii="Times New Roman" w:hAnsi="Times New Roman"/>
          <w:b/>
          <w:bCs w:val="false"/>
          <w:i w:val="false"/>
          <w:iCs w:val="false"/>
          <w:strike w:val="false"/>
          <w:dstrike w:val="false"/>
          <w:outline w:val="false"/>
          <w:shadow w:val="false"/>
          <w:color w:val="000000"/>
          <w:sz w:val="24"/>
          <w:szCs w:val="24"/>
          <w:u w:val="none"/>
          <w:lang w:val="uk-UA" w:eastAsia="ru-RU"/>
        </w:rPr>
        <w:t xml:space="preserve"> (44113620-7 асфальт, 44113610-4 бітум).</w:t>
      </w:r>
    </w:p>
    <w:p>
      <w:pPr>
        <w:pStyle w:val="Normal"/>
        <w:spacing w:lineRule="auto" w:line="240" w:before="0" w:after="0"/>
        <w:ind w:firstLine="567"/>
        <w:jc w:val="both"/>
        <w:rPr/>
      </w:pPr>
      <w:r>
        <w:rPr>
          <w:rFonts w:eastAsia="Times New Roman" w:cs="Times New Roman" w:ascii="Times New Roman" w:hAnsi="Times New Roman"/>
          <w:color w:val="000000"/>
          <w:sz w:val="24"/>
          <w:szCs w:val="24"/>
        </w:rPr>
        <w:t>4. Інформація про технічні, якісні та інші характеристики предмета закупівлі:</w:t>
      </w:r>
      <w:r>
        <w:rPr>
          <w:rFonts w:eastAsia="Times New Roman" w:cs="Times New Roman" w:ascii="Times New Roman" w:hAnsi="Times New Roman"/>
          <w:b/>
          <w:i/>
          <w:color w:val="000000"/>
          <w:sz w:val="24"/>
          <w:szCs w:val="24"/>
        </w:rPr>
        <w:t xml:space="preserve"> Згідно Додатку 2.</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Кількість: </w:t>
      </w:r>
    </w:p>
    <w:tbl>
      <w:tblPr>
        <w:tblStyle w:val="ab"/>
        <w:tblW w:w="9634"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659"/>
        <w:gridCol w:w="2132"/>
        <w:gridCol w:w="1843"/>
      </w:tblGrid>
      <w:tr>
        <w:trPr/>
        <w:tc>
          <w:tcPr>
            <w:tcW w:w="5659" w:type="dxa"/>
            <w:tcBorders/>
            <w:vAlign w:val="center"/>
          </w:tcPr>
          <w:p>
            <w:pPr>
              <w:pStyle w:val="Normal"/>
              <w:widowControl w:val="false"/>
              <w:suppressAutoHyphens w:val="true"/>
              <w:spacing w:lineRule="auto" w:line="240" w:before="0" w:after="0"/>
              <w:jc w:val="center"/>
              <w:rPr>
                <w:rFonts w:ascii="Times New Roman" w:hAnsi="Times New Roman"/>
                <w:b/>
                <w:b/>
                <w:bCs/>
                <w:i/>
                <w:i/>
                <w:sz w:val="24"/>
                <w:szCs w:val="24"/>
              </w:rPr>
            </w:pPr>
            <w:r>
              <w:rPr>
                <w:rFonts w:eastAsia="Calibri" w:cs="Calibri" w:ascii="Times New Roman" w:hAnsi="Times New Roman"/>
                <w:b/>
                <w:bCs/>
                <w:i/>
                <w:kern w:val="0"/>
                <w:sz w:val="24"/>
                <w:szCs w:val="24"/>
                <w:lang w:val="uk-UA" w:eastAsia="ru-RU" w:bidi="ar-SA"/>
              </w:rPr>
              <w:t>Найменування товару</w:t>
            </w:r>
          </w:p>
        </w:tc>
        <w:tc>
          <w:tcPr>
            <w:tcW w:w="2132" w:type="dxa"/>
            <w:tcBorders/>
            <w:vAlign w:val="center"/>
          </w:tcPr>
          <w:p>
            <w:pPr>
              <w:pStyle w:val="Normal"/>
              <w:widowControl w:val="false"/>
              <w:suppressAutoHyphens w:val="true"/>
              <w:spacing w:lineRule="auto" w:line="240" w:before="0" w:after="0"/>
              <w:jc w:val="center"/>
              <w:rPr>
                <w:rFonts w:ascii="Times New Roman" w:hAnsi="Times New Roman"/>
                <w:b/>
                <w:b/>
                <w:bCs/>
                <w:i/>
                <w:i/>
                <w:sz w:val="24"/>
                <w:szCs w:val="24"/>
              </w:rPr>
            </w:pPr>
            <w:r>
              <w:rPr>
                <w:rFonts w:eastAsia="Calibri" w:cs="Calibri" w:ascii="Times New Roman" w:hAnsi="Times New Roman"/>
                <w:b/>
                <w:bCs/>
                <w:i/>
                <w:kern w:val="0"/>
                <w:sz w:val="24"/>
                <w:szCs w:val="24"/>
                <w:lang w:val="uk-UA" w:eastAsia="ru-RU" w:bidi="ar-SA"/>
              </w:rPr>
              <w:t>Одиниця виміру</w:t>
            </w:r>
          </w:p>
        </w:tc>
        <w:tc>
          <w:tcPr>
            <w:tcW w:w="1843" w:type="dxa"/>
            <w:tcBorders/>
            <w:vAlign w:val="center"/>
          </w:tcPr>
          <w:p>
            <w:pPr>
              <w:pStyle w:val="Normal"/>
              <w:widowControl w:val="false"/>
              <w:suppressAutoHyphens w:val="true"/>
              <w:spacing w:lineRule="auto" w:line="240" w:before="0" w:after="0"/>
              <w:jc w:val="center"/>
              <w:rPr>
                <w:rFonts w:ascii="Times New Roman" w:hAnsi="Times New Roman"/>
                <w:b/>
                <w:b/>
                <w:bCs/>
                <w:i/>
                <w:i/>
                <w:sz w:val="24"/>
                <w:szCs w:val="24"/>
              </w:rPr>
            </w:pPr>
            <w:r>
              <w:rPr>
                <w:rFonts w:eastAsia="Calibri" w:cs="Calibri" w:ascii="Times New Roman" w:hAnsi="Times New Roman"/>
                <w:b/>
                <w:bCs/>
                <w:i/>
                <w:kern w:val="0"/>
                <w:sz w:val="24"/>
                <w:szCs w:val="24"/>
                <w:lang w:val="uk-UA" w:eastAsia="ru-RU" w:bidi="ar-SA"/>
              </w:rPr>
              <w:t>кількість</w:t>
            </w:r>
          </w:p>
        </w:tc>
      </w:tr>
      <w:tr>
        <w:trPr/>
        <w:tc>
          <w:tcPr>
            <w:tcW w:w="5659"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shd w:fill="auto" w:val="clear"/>
              </w:rPr>
            </w:pPr>
            <w:r>
              <w:rPr>
                <w:rFonts w:eastAsia="Calibri" w:cs="Times New Roman" w:ascii="Times New Roman" w:hAnsi="Times New Roman"/>
                <w:kern w:val="0"/>
                <w:sz w:val="24"/>
                <w:szCs w:val="24"/>
                <w:shd w:fill="auto" w:val="clear"/>
                <w:lang w:val="uk-UA" w:eastAsia="ru-RU" w:bidi="ar-SA"/>
              </w:rPr>
              <w:t>Суміш асфальтобетонна гаряча дрібнозерниста тип Б  марка 1 для влаштування верхнього шару покриття</w:t>
            </w:r>
          </w:p>
        </w:tc>
        <w:tc>
          <w:tcPr>
            <w:tcW w:w="2132" w:type="dxa"/>
            <w:tcBorders/>
            <w:vAlign w:val="center"/>
          </w:tcPr>
          <w:p>
            <w:pPr>
              <w:pStyle w:val="ShiftCtrlAlt"/>
              <w:widowControl w:val="false"/>
              <w:spacing w:lineRule="auto" w:line="240" w:before="0" w:after="0"/>
              <w:jc w:val="center"/>
              <w:rPr>
                <w:rFonts w:cs="Times New Roman"/>
                <w:sz w:val="24"/>
                <w:szCs w:val="24"/>
                <w:shd w:fill="auto" w:val="clear"/>
                <w:lang w:val="uk-UA"/>
              </w:rPr>
            </w:pPr>
            <w:r>
              <w:rPr>
                <w:rFonts w:cs="Times New Roman"/>
                <w:kern w:val="0"/>
                <w:sz w:val="24"/>
                <w:szCs w:val="24"/>
                <w:shd w:fill="auto" w:val="clear"/>
                <w:lang w:val="uk-UA" w:bidi="ar-SA"/>
              </w:rPr>
              <w:t>т</w:t>
            </w:r>
          </w:p>
        </w:tc>
        <w:tc>
          <w:tcPr>
            <w:tcW w:w="1843" w:type="dxa"/>
            <w:tcBorders/>
            <w:vAlign w:val="center"/>
          </w:tcPr>
          <w:p>
            <w:pPr>
              <w:pStyle w:val="Normal"/>
              <w:widowControl w:val="false"/>
              <w:suppressAutoHyphens w:val="true"/>
              <w:spacing w:lineRule="auto" w:line="240" w:before="0" w:after="0"/>
              <w:jc w:val="center"/>
              <w:rPr>
                <w:rFonts w:ascii="Times New Roman" w:hAnsi="Times New Roman"/>
                <w:bCs/>
                <w:sz w:val="24"/>
                <w:szCs w:val="24"/>
                <w:shd w:fill="auto" w:val="clear"/>
              </w:rPr>
            </w:pPr>
            <w:r>
              <w:rPr>
                <w:rFonts w:eastAsia="Calibri" w:cs="Calibri" w:ascii="Times New Roman" w:hAnsi="Times New Roman"/>
                <w:bCs/>
                <w:kern w:val="0"/>
                <w:sz w:val="24"/>
                <w:szCs w:val="24"/>
                <w:shd w:fill="auto" w:val="clear"/>
                <w:lang w:val="uk-UA" w:eastAsia="ru-RU" w:bidi="ar-SA"/>
              </w:rPr>
              <w:t>34</w:t>
            </w:r>
          </w:p>
        </w:tc>
      </w:tr>
      <w:tr>
        <w:trPr/>
        <w:tc>
          <w:tcPr>
            <w:tcW w:w="5659" w:type="dxa"/>
            <w:tcBorders/>
            <w:vAlign w:val="center"/>
          </w:tcPr>
          <w:p>
            <w:pPr>
              <w:pStyle w:val="Normal"/>
              <w:widowControl w:val="false"/>
              <w:suppressAutoHyphens w:val="true"/>
              <w:spacing w:lineRule="auto" w:line="240" w:before="0" w:after="0"/>
              <w:jc w:val="left"/>
              <w:rPr>
                <w:rFonts w:ascii="Times New Roman" w:hAnsi="Times New Roman" w:cs="Times New Roman"/>
                <w:sz w:val="24"/>
                <w:szCs w:val="24"/>
                <w:shd w:fill="auto" w:val="clear"/>
              </w:rPr>
            </w:pPr>
            <w:r>
              <w:rPr>
                <w:rFonts w:eastAsia="Calibri" w:cs="Times New Roman" w:ascii="Times New Roman" w:hAnsi="Times New Roman"/>
                <w:kern w:val="0"/>
                <w:sz w:val="24"/>
                <w:szCs w:val="24"/>
                <w:shd w:fill="auto" w:val="clear"/>
                <w:lang w:val="uk-UA" w:eastAsia="ru-RU" w:bidi="ar-SA"/>
              </w:rPr>
              <w:t>Бітум дорожній в’язкий  марка 70/100</w:t>
            </w:r>
          </w:p>
        </w:tc>
        <w:tc>
          <w:tcPr>
            <w:tcW w:w="2132" w:type="dxa"/>
            <w:tcBorders/>
            <w:vAlign w:val="center"/>
          </w:tcPr>
          <w:p>
            <w:pPr>
              <w:pStyle w:val="ShiftCtrlAlt"/>
              <w:widowControl w:val="false"/>
              <w:spacing w:lineRule="auto" w:line="240" w:before="0" w:after="0"/>
              <w:jc w:val="center"/>
              <w:rPr>
                <w:rFonts w:cs="Times New Roman"/>
                <w:sz w:val="24"/>
                <w:szCs w:val="24"/>
                <w:shd w:fill="auto" w:val="clear"/>
                <w:lang w:val="uk-UA"/>
              </w:rPr>
            </w:pPr>
            <w:r>
              <w:rPr>
                <w:rFonts w:cs="Times New Roman"/>
                <w:kern w:val="0"/>
                <w:sz w:val="24"/>
                <w:szCs w:val="24"/>
                <w:shd w:fill="auto" w:val="clear"/>
                <w:lang w:val="uk-UA" w:bidi="ar-SA"/>
              </w:rPr>
              <w:t>т</w:t>
            </w:r>
          </w:p>
        </w:tc>
        <w:tc>
          <w:tcPr>
            <w:tcW w:w="1843" w:type="dxa"/>
            <w:tcBorders/>
            <w:vAlign w:val="center"/>
          </w:tcPr>
          <w:p>
            <w:pPr>
              <w:pStyle w:val="Normal"/>
              <w:widowControl w:val="false"/>
              <w:suppressAutoHyphens w:val="true"/>
              <w:spacing w:lineRule="auto" w:line="240" w:before="0" w:after="0"/>
              <w:jc w:val="center"/>
              <w:rPr>
                <w:rFonts w:ascii="Times New Roman" w:hAnsi="Times New Roman"/>
                <w:bCs/>
                <w:sz w:val="24"/>
                <w:szCs w:val="24"/>
                <w:shd w:fill="auto" w:val="clear"/>
              </w:rPr>
            </w:pPr>
            <w:r>
              <w:rPr>
                <w:rFonts w:eastAsia="Calibri" w:cs="Calibri" w:ascii="Times New Roman" w:hAnsi="Times New Roman"/>
                <w:bCs/>
                <w:kern w:val="0"/>
                <w:sz w:val="24"/>
                <w:szCs w:val="24"/>
                <w:shd w:fill="auto" w:val="clear"/>
                <w:lang w:val="uk-UA" w:eastAsia="ru-RU" w:bidi="ar-SA"/>
              </w:rPr>
              <w:t>0,21</w:t>
            </w:r>
          </w:p>
        </w:tc>
      </w:tr>
    </w:tbl>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Місце поставки товару:  </w:t>
      </w:r>
      <w:r>
        <w:rPr>
          <w:rFonts w:cs="Times New Roman" w:ascii="Times New Roman" w:hAnsi="Times New Roman"/>
          <w:sz w:val="24"/>
          <w:szCs w:val="24"/>
        </w:rPr>
        <w:t xml:space="preserve">Самовивіз. Завод виробника у </w:t>
      </w:r>
      <w:r>
        <w:rPr>
          <w:rFonts w:eastAsia="Calibri" w:cs="Times New Roman" w:ascii="Times New Roman" w:hAnsi="Times New Roman"/>
          <w:color w:val="auto"/>
          <w:kern w:val="0"/>
          <w:sz w:val="24"/>
          <w:szCs w:val="24"/>
          <w:lang w:val="uk-UA" w:eastAsia="ru-RU" w:bidi="ar-SA"/>
        </w:rPr>
        <w:t xml:space="preserve">Червоноградському районі Львівської </w:t>
      </w:r>
      <w:r>
        <w:rPr>
          <w:rFonts w:cs="Times New Roman" w:ascii="Times New Roman" w:hAnsi="Times New Roman"/>
          <w:sz w:val="24"/>
          <w:szCs w:val="24"/>
        </w:rPr>
        <w:t xml:space="preserve"> обл. (відстань перевезення товару від заводу Постачальника до місця вивантаження (проведення робіт з асфальтування) до 20 км (включно), оскільки технологія використання товару по предмету закупівлі передбачає дотримання певних температурних режимів.</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7. Строк поставки товару: </w:t>
      </w:r>
      <w:r>
        <w:rPr>
          <w:rFonts w:ascii="Times New Roman" w:hAnsi="Times New Roman"/>
          <w:sz w:val="24"/>
          <w:szCs w:val="24"/>
        </w:rPr>
        <w:t>Товар постачається окремими партіями за заявками Покупця</w:t>
      </w:r>
      <w:r>
        <w:rPr>
          <w:rFonts w:eastAsia="Times New Roman" w:cs="Times New Roman" w:ascii="Times New Roman" w:hAnsi="Times New Roman"/>
          <w:color w:val="000000"/>
          <w:sz w:val="24"/>
          <w:szCs w:val="24"/>
        </w:rPr>
        <w:t xml:space="preserve"> до 31.12.2022 р.</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8. Умови оплати: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6"/>
        <w:tblW w:w="9923" w:type="dxa"/>
        <w:jc w:val="left"/>
        <w:tblInd w:w="-11" w:type="dxa"/>
        <w:tblLayout w:type="fixed"/>
        <w:tblCellMar>
          <w:top w:w="100" w:type="dxa"/>
          <w:left w:w="100" w:type="dxa"/>
          <w:bottom w:w="100" w:type="dxa"/>
          <w:right w:w="100" w:type="dxa"/>
        </w:tblCellMar>
        <w:tblLook w:firstRow="0" w:noVBand="1" w:lastRow="0" w:firstColumn="0" w:lastColumn="0" w:noHBand="0" w:val="0400"/>
      </w:tblPr>
      <w:tblGrid>
        <w:gridCol w:w="2835"/>
        <w:gridCol w:w="2970"/>
        <w:gridCol w:w="998"/>
        <w:gridCol w:w="1419"/>
        <w:gridCol w:w="1701"/>
      </w:tblGrid>
      <w:tr>
        <w:trPr>
          <w:trHeight w:val="336" w:hRule="atLeast"/>
        </w:trPr>
        <w:tc>
          <w:tcPr>
            <w:tcW w:w="28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Подія</w:t>
            </w:r>
          </w:p>
        </w:tc>
        <w:tc>
          <w:tcPr>
            <w:tcW w:w="297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Тип оплати</w:t>
            </w:r>
          </w:p>
        </w:tc>
        <w:tc>
          <w:tcPr>
            <w:tcW w:w="99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Період,</w:t>
            </w:r>
          </w:p>
          <w:p>
            <w:pPr>
              <w:pStyle w:val="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(днів)</w:t>
            </w:r>
          </w:p>
        </w:tc>
        <w:tc>
          <w:tcPr>
            <w:tcW w:w="141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Тип днів</w:t>
            </w:r>
          </w:p>
        </w:tc>
        <w:tc>
          <w:tcPr>
            <w:tcW w:w="170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Розмір</w:t>
            </w:r>
          </w:p>
          <w:p>
            <w:pPr>
              <w:pStyle w:val="Normal"/>
              <w:widowControl w:val="false"/>
              <w:spacing w:lineRule="auto" w:line="240" w:before="0" w:after="0"/>
              <w:jc w:val="center"/>
              <w:rPr>
                <w:rFonts w:ascii="Times New Roman" w:hAnsi="Times New Roman" w:eastAsia="Times New Roman" w:cs="Times New Roman"/>
                <w:b/>
                <w:b/>
                <w:sz w:val="20"/>
                <w:szCs w:val="20"/>
              </w:rPr>
            </w:pPr>
            <w:r>
              <w:rPr>
                <w:rFonts w:eastAsia="Times New Roman" w:cs="Times New Roman" w:ascii="Times New Roman" w:hAnsi="Times New Roman"/>
                <w:b/>
                <w:color w:val="000000"/>
                <w:sz w:val="20"/>
                <w:szCs w:val="20"/>
              </w:rPr>
              <w:t>оплати, (%)</w:t>
            </w:r>
          </w:p>
        </w:tc>
      </w:tr>
      <w:tr>
        <w:trPr>
          <w:trHeight w:val="1193" w:hRule="atLeast"/>
        </w:trPr>
        <w:tc>
          <w:tcPr>
            <w:tcW w:w="2835"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 xml:space="preserve"> </w:t>
            </w:r>
            <w:r>
              <w:rPr>
                <w:rFonts w:eastAsia="Times New Roman" w:cs="Times New Roman" w:ascii="Times New Roman" w:hAnsi="Times New Roman"/>
                <w:b/>
                <w:color w:val="000000"/>
                <w:sz w:val="20"/>
                <w:szCs w:val="20"/>
              </w:rPr>
              <w:t xml:space="preserve">поставка товару </w:t>
            </w:r>
            <w:r>
              <w:rPr>
                <w:rFonts w:eastAsia="Times New Roman" w:cs="Times New Roman" w:ascii="Times New Roman" w:hAnsi="Times New Roman"/>
                <w:color w:val="000000"/>
                <w:sz w:val="20"/>
                <w:szCs w:val="20"/>
              </w:rPr>
              <w:t> — оплата здійснюється після того, як поставлений товар, підтвердженням буде видаткова накладна</w:t>
            </w:r>
          </w:p>
        </w:tc>
        <w:tc>
          <w:tcPr>
            <w:tcW w:w="297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b/>
                <w:color w:val="000000"/>
                <w:sz w:val="20"/>
                <w:szCs w:val="20"/>
              </w:rPr>
              <w:t>Післяплата</w:t>
            </w:r>
            <w:r>
              <w:rPr>
                <w:rFonts w:eastAsia="Times New Roman" w:cs="Times New Roman" w:ascii="Times New Roman" w:hAnsi="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99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14</w:t>
            </w:r>
          </w:p>
        </w:tc>
        <w:tc>
          <w:tcPr>
            <w:tcW w:w="141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календарних</w:t>
            </w:r>
          </w:p>
        </w:tc>
        <w:tc>
          <w:tcPr>
            <w:tcW w:w="1701"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0"/>
                <w:szCs w:val="20"/>
              </w:rPr>
            </w:pPr>
            <w:r>
              <w:rPr>
                <w:rFonts w:eastAsia="Times New Roman" w:cs="Times New Roman" w:ascii="Times New Roman" w:hAnsi="Times New Roman"/>
                <w:color w:val="000000"/>
                <w:sz w:val="20"/>
                <w:szCs w:val="20"/>
              </w:rPr>
              <w:t>100</w:t>
            </w:r>
          </w:p>
        </w:tc>
      </w:tr>
    </w:tbl>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9. Очікувана вартість предмета закупівлі: </w:t>
      </w:r>
      <w:r>
        <w:rPr>
          <w:rFonts w:eastAsia="Times New Roman" w:cs="Times New Roman" w:ascii="Times New Roman" w:hAnsi="Times New Roman"/>
          <w:b/>
          <w:bCs/>
          <w:color w:val="000000"/>
          <w:sz w:val="24"/>
          <w:szCs w:val="24"/>
        </w:rPr>
        <w:t>149990,00 (Сто сорок дев’ять тисяч дев’ятсот дев’яносто гривень 00 копійок)</w:t>
      </w:r>
      <w:r>
        <w:rPr>
          <w:rFonts w:eastAsia="Times New Roman" w:cs="Times New Roman" w:ascii="Times New Roman" w:hAnsi="Times New Roman"/>
          <w:b/>
          <w:bCs/>
          <w:color w:val="000000"/>
          <w:sz w:val="24"/>
          <w:szCs w:val="24"/>
          <w:shd w:fill="auto" w:val="clear"/>
        </w:rPr>
        <w:t xml:space="preserve"> з ПДВ.</w:t>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color w:val="000000"/>
          <w:sz w:val="24"/>
          <w:szCs w:val="24"/>
        </w:rPr>
        <w:t xml:space="preserve">10. Період уточнення інформації про закупівлю </w:t>
      </w:r>
      <w:r>
        <w:rPr>
          <w:rFonts w:eastAsia="Times New Roman" w:cs="Times New Roman" w:ascii="Times New Roman" w:hAnsi="Times New Roman"/>
          <w:sz w:val="24"/>
          <w:szCs w:val="24"/>
        </w:rPr>
        <w:t xml:space="preserve">(не менше трьох робочих днів): </w:t>
      </w:r>
      <w:r>
        <w:rPr>
          <w:rFonts w:eastAsia="Times New Roman" w:cs="Times New Roman" w:ascii="Times New Roman" w:hAnsi="Times New Roman"/>
          <w:b/>
          <w:sz w:val="24"/>
          <w:szCs w:val="24"/>
          <w:shd w:fill="auto" w:val="clear"/>
        </w:rPr>
        <w:t xml:space="preserve">до </w:t>
      </w:r>
      <w:r>
        <w:rPr>
          <w:rFonts w:eastAsia="Times New Roman" w:cs="Times New Roman" w:ascii="Times New Roman" w:hAnsi="Times New Roman"/>
          <w:b/>
          <w:sz w:val="24"/>
          <w:szCs w:val="24"/>
          <w:shd w:fill="auto" w:val="clear"/>
        </w:rPr>
        <w:t xml:space="preserve">02 </w:t>
      </w:r>
      <w:r>
        <w:rPr>
          <w:rFonts w:eastAsia="Times New Roman" w:cs="Times New Roman" w:ascii="Times New Roman" w:hAnsi="Times New Roman"/>
          <w:b/>
          <w:sz w:val="24"/>
          <w:szCs w:val="24"/>
          <w:shd w:fill="auto" w:val="clear"/>
        </w:rPr>
        <w:t xml:space="preserve">  </w:t>
      </w:r>
      <w:r>
        <w:rPr>
          <w:rFonts w:eastAsia="Times New Roman" w:cs="Times New Roman" w:ascii="Times New Roman" w:hAnsi="Times New Roman"/>
          <w:b/>
          <w:sz w:val="24"/>
          <w:szCs w:val="24"/>
          <w:shd w:fill="auto" w:val="clear"/>
        </w:rPr>
        <w:t>вересня</w:t>
      </w:r>
      <w:r>
        <w:rPr>
          <w:rFonts w:eastAsia="Times New Roman" w:cs="Times New Roman" w:ascii="Times New Roman" w:hAnsi="Times New Roman"/>
          <w:b/>
          <w:sz w:val="24"/>
          <w:szCs w:val="24"/>
          <w:shd w:fill="auto" w:val="clear"/>
        </w:rPr>
        <w:t xml:space="preserve"> 2022 року </w:t>
      </w:r>
      <w:r>
        <w:rPr>
          <w:rFonts w:eastAsia="Times New Roman" w:cs="Times New Roman" w:ascii="Times New Roman" w:hAnsi="Times New Roman"/>
          <w:b/>
          <w:color w:val="000000"/>
          <w:kern w:val="0"/>
          <w:sz w:val="24"/>
          <w:szCs w:val="24"/>
          <w:shd w:fill="auto" w:val="clear"/>
          <w:lang w:val="uk-UA" w:eastAsia="ru-RU" w:bidi="ar-SA"/>
        </w:rPr>
        <w:t>1</w:t>
      </w:r>
      <w:r>
        <w:rPr>
          <w:rFonts w:eastAsia="Times New Roman" w:cs="Times New Roman" w:ascii="Times New Roman" w:hAnsi="Times New Roman"/>
          <w:b/>
          <w:color w:val="000000"/>
          <w:kern w:val="0"/>
          <w:sz w:val="24"/>
          <w:szCs w:val="24"/>
          <w:shd w:fill="auto" w:val="clear"/>
          <w:lang w:val="uk-UA" w:eastAsia="ru-RU" w:bidi="ar-SA"/>
        </w:rPr>
        <w:t>6:40</w:t>
      </w:r>
      <w:r>
        <w:rPr>
          <w:rFonts w:eastAsia="Times New Roman" w:cs="Times New Roman" w:ascii="Times New Roman" w:hAnsi="Times New Roman"/>
          <w:b/>
          <w:color w:val="000000"/>
          <w:kern w:val="0"/>
          <w:sz w:val="24"/>
          <w:szCs w:val="24"/>
          <w:shd w:fill="auto" w:val="clear"/>
          <w:lang w:val="uk-UA" w:eastAsia="ru-RU" w:bidi="ar-SA"/>
        </w:rPr>
        <w:t>.</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11.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закупівель): </w:t>
      </w:r>
      <w:r>
        <w:rPr>
          <w:rFonts w:eastAsia="Times New Roman" w:cs="Times New Roman" w:ascii="Times New Roman" w:hAnsi="Times New Roman"/>
          <w:b/>
          <w:bCs/>
          <w:color w:val="000000"/>
          <w:sz w:val="24"/>
          <w:szCs w:val="24"/>
        </w:rPr>
        <w:t>07</w:t>
      </w:r>
      <w:r>
        <w:rPr>
          <w:rFonts w:eastAsia="Times New Roman" w:cs="Times New Roman" w:ascii="Times New Roman" w:hAnsi="Times New Roman"/>
          <w:b/>
          <w:bCs/>
          <w:color w:val="000000"/>
          <w:sz w:val="24"/>
          <w:szCs w:val="24"/>
        </w:rPr>
        <w:t xml:space="preserve"> </w:t>
      </w:r>
      <w:r>
        <w:rPr>
          <w:rFonts w:eastAsia="Times New Roman" w:cs="Times New Roman" w:ascii="Times New Roman" w:hAnsi="Times New Roman"/>
          <w:b/>
          <w:bCs/>
          <w:color w:val="000000"/>
          <w:sz w:val="24"/>
          <w:szCs w:val="24"/>
        </w:rPr>
        <w:t>вересня</w:t>
      </w:r>
      <w:r>
        <w:rPr>
          <w:rFonts w:eastAsia="Times New Roman" w:cs="Times New Roman" w:ascii="Times New Roman" w:hAnsi="Times New Roman"/>
          <w:b/>
          <w:color w:val="000000"/>
          <w:sz w:val="24"/>
          <w:szCs w:val="24"/>
          <w:shd w:fill="auto" w:val="clear"/>
        </w:rPr>
        <w:t xml:space="preserve"> 2022 року до 1</w:t>
      </w:r>
      <w:r>
        <w:rPr>
          <w:rFonts w:eastAsia="Times New Roman" w:cs="Times New Roman" w:ascii="Times New Roman" w:hAnsi="Times New Roman"/>
          <w:b/>
          <w:color w:val="000000"/>
          <w:sz w:val="24"/>
          <w:szCs w:val="24"/>
          <w:shd w:fill="auto" w:val="clear"/>
        </w:rPr>
        <w:t>6:40</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color w:val="000000"/>
          <w:sz w:val="24"/>
          <w:szCs w:val="24"/>
        </w:rPr>
        <w:t>(пункт 2 частини 1 статті 10 – оголошення про проведення спрощеної закупівлі та проект договору про закупівлю – не пізніше ніж за шість робочих днів до кінцевого строку подання пропозицій).</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12. Перелік критеріїв та методика оцінки пропозицій із зазначенням питомої ваги критеріїв:  </w:t>
      </w:r>
      <w:r>
        <w:rPr>
          <w:rFonts w:eastAsia="Times New Roman" w:cs="Times New Roman" w:ascii="Times New Roman" w:hAnsi="Times New Roman"/>
          <w:b/>
          <w:i/>
          <w:sz w:val="24"/>
          <w:szCs w:val="24"/>
        </w:rPr>
        <w:t>„Ціна – 100%”.</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13. Розмір та умови надання забезпечення пропозицій учасників:  </w:t>
      </w:r>
      <w:r>
        <w:rPr>
          <w:rFonts w:eastAsia="Times New Roman" w:cs="Times New Roman" w:ascii="Times New Roman" w:hAnsi="Times New Roman"/>
          <w:sz w:val="24"/>
          <w:szCs w:val="24"/>
        </w:rPr>
        <w:t xml:space="preserve">не вимагається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14. Розмір та умови надання забезпечення виконання договору про закупівлю: </w:t>
      </w:r>
      <w:r>
        <w:rPr>
          <w:rFonts w:eastAsia="Times New Roman" w:cs="Times New Roman" w:ascii="Times New Roman" w:hAnsi="Times New Roman"/>
          <w:sz w:val="24"/>
          <w:szCs w:val="24"/>
        </w:rPr>
        <w:t>не вимагається</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15.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Pr>
          <w:rFonts w:eastAsia="Times New Roman" w:cs="Times New Roman" w:ascii="Times New Roman" w:hAnsi="Times New Roman"/>
          <w:b/>
          <w:color w:val="000000"/>
          <w:sz w:val="24"/>
          <w:szCs w:val="24"/>
        </w:rPr>
        <w:t>0,5 % - 749,95 грн.</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15. Всі матеріали та марки продукції вказані в цій документації вживаються у значенні «…або еквівалент».</w:t>
      </w:r>
    </w:p>
    <w:p>
      <w:pPr>
        <w:pStyle w:val="Normal"/>
        <w:spacing w:lineRule="auto" w:line="240" w:before="0" w:after="0"/>
        <w:ind w:firstLine="567"/>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firstLine="567"/>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ind w:firstLine="567"/>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Інша інформація:</w:t>
      </w:r>
    </w:p>
    <w:p>
      <w:pPr>
        <w:pStyle w:val="Normal"/>
        <w:spacing w:lineRule="auto" w:line="240" w:before="0" w:after="0"/>
        <w:ind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Оголошення розроблено відповідно до вимог Закону України «Про публічні закупівлі» (далі - </w:t>
      </w:r>
      <w:r>
        <w:rPr>
          <w:rFonts w:eastAsia="Times New Roman" w:cs="Times New Roman" w:ascii="Times New Roman" w:hAnsi="Times New Roman"/>
          <w:b/>
          <w:color w:val="000000"/>
          <w:sz w:val="24"/>
          <w:szCs w:val="24"/>
        </w:rPr>
        <w:t>Закон</w:t>
      </w:r>
      <w:r>
        <w:rPr>
          <w:rFonts w:eastAsia="Times New Roman" w:cs="Times New Roman" w:ascii="Times New Roman" w:hAnsi="Times New Roman"/>
          <w:color w:val="000000"/>
          <w:sz w:val="24"/>
          <w:szCs w:val="24"/>
        </w:rPr>
        <w:t>). Терміни, які використовуються в цьому оголошенні, вживаються у значенні, наведеному в Законі.</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567"/>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hyperlink r:id="rId3">
        <w:r>
          <w:rPr>
            <w:rFonts w:eastAsia="Times New Roman" w:cs="Times New Roman" w:ascii="Times New Roman" w:hAnsi="Times New Roman"/>
            <w:b/>
            <w:sz w:val="24"/>
            <w:szCs w:val="24"/>
          </w:rPr>
          <w:t>"Про електронні довірчі послуги"</w:t>
        </w:r>
      </w:hyperlink>
      <w:r>
        <w:rPr>
          <w:rFonts w:eastAsia="Times New Roman" w:cs="Times New Roman" w:ascii="Times New Roman" w:hAnsi="Times New Roman"/>
          <w:b/>
          <w:sz w:val="24"/>
          <w:szCs w:val="24"/>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Замовник перевіряє КЕП учасника на сайті центрального засвідчувального органу за посиланням </w:t>
      </w:r>
      <w:hyperlink r:id="rId4">
        <w:r>
          <w:rPr>
            <w:rFonts w:eastAsia="Times New Roman" w:cs="Times New Roman" w:ascii="Times New Roman" w:hAnsi="Times New Roman"/>
            <w:color w:val="1155CC"/>
            <w:sz w:val="24"/>
            <w:szCs w:val="24"/>
            <w:u w:val="single"/>
          </w:rPr>
          <w:t>https://czo.gov.ua/verify</w:t>
        </w:r>
      </w:hyperlink>
      <w:r>
        <w:rPr>
          <w:rFonts w:eastAsia="Times New Roman" w:cs="Times New Roman" w:ascii="Times New Roman" w:hAnsi="Times New Roman"/>
          <w:color w:val="000000"/>
          <w:sz w:val="24"/>
          <w:szCs w:val="24"/>
        </w:rPr>
        <w:t>.</w:t>
      </w:r>
    </w:p>
    <w:p>
      <w:pPr>
        <w:pStyle w:val="Normal"/>
        <w:spacing w:lineRule="auto" w:line="240" w:before="0" w:after="0"/>
        <w:ind w:firstLine="567"/>
        <w:jc w:val="both"/>
        <w:rPr>
          <w:rFonts w:ascii="Times New Roman" w:hAnsi="Times New Roman" w:cs="Times New Roman"/>
          <w:sz w:val="24"/>
          <w:szCs w:val="24"/>
        </w:rPr>
      </w:pPr>
      <w:r>
        <w:rPr>
          <w:rFonts w:eastAsia="Times New Roman" w:cs="Times New Roman" w:ascii="Times New Roman" w:hAnsi="Times New Roman"/>
          <w:color w:val="000000"/>
          <w:sz w:val="24"/>
          <w:szCs w:val="24"/>
        </w:rPr>
        <w:t xml:space="preserve">Під час перевірки </w:t>
      </w:r>
      <w:r>
        <w:rPr>
          <w:rFonts w:cs="Times New Roman" w:ascii="Times New Roman" w:hAnsi="Times New Roman"/>
          <w:sz w:val="24"/>
          <w:szCs w:val="24"/>
        </w:rPr>
        <w:t xml:space="preserve">електронного підпису учасника повинні відображатися ідентифікаційні дані, які б </w:t>
      </w:r>
      <w:r>
        <w:rPr>
          <w:rFonts w:cs="Times New Roman" w:ascii="Times New Roman" w:hAnsi="Times New Roman"/>
          <w:sz w:val="24"/>
          <w:szCs w:val="24"/>
          <w:u w:val="single"/>
        </w:rPr>
        <w:t>однозначно</w:t>
      </w:r>
      <w:r>
        <w:rPr>
          <w:rFonts w:cs="Times New Roman" w:ascii="Times New Roman" w:hAnsi="Times New Roman"/>
          <w:sz w:val="24"/>
          <w:szCs w:val="24"/>
        </w:rPr>
        <w:t xml:space="preserve"> визначали користувача електронних довірчих послуг, а саме унікальний номер запису в Єдиному державному демографічному реєстрі або реєстраційний номер облікової картки платника податків, або серія та номер паспорта.</w:t>
      </w:r>
      <w:r>
        <w:rPr>
          <w:rFonts w:eastAsia="Times New Roman" w:cs="Times New Roman" w:ascii="Times New Roman" w:hAnsi="Times New Roman"/>
          <w:color w:val="000000"/>
          <w:sz w:val="24"/>
          <w:szCs w:val="24"/>
        </w:rPr>
        <w:t xml:space="preserve">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pPr>
        <w:pStyle w:val="Normal"/>
        <w:keepNext w:val="true"/>
        <w:keepLines/>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Кожен учасник має право подати тільки одну пропозицію.</w:t>
      </w:r>
    </w:p>
    <w:p>
      <w:pPr>
        <w:pStyle w:val="Normal"/>
        <w:spacing w:lineRule="auto" w:line="240" w:before="0" w:after="0"/>
        <w:ind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hd w:val="clear" w:color="auto" w:fill="FFFFFF"/>
        <w:spacing w:lineRule="auto" w:line="240" w:before="0" w:after="0"/>
        <w:ind w:firstLine="567"/>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Відхилення пропозиції учасника:</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highlight w:val="white"/>
        </w:rPr>
        <w:t>Замовник відхиляє пропозицію в разі, якщо:</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2) учасник не надав забезпечення пропозиції, якщо таке забезпечення вимагалося замовником;</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pPr>
        <w:pStyle w:val="Normal"/>
        <w:shd w:val="clear" w:color="auto" w:fill="FFFFFF"/>
        <w:spacing w:lineRule="auto" w:line="240" w:before="0" w:after="0"/>
        <w:ind w:firstLine="567"/>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left="567"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2. Відміна закупівлі:</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highlight w:val="white"/>
        </w:rPr>
        <w:t>1. Замовник відміняє спрощену закупівлю в разі:</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1) відсутності подальшої потреби в закупівлі товарів, робіт і послуг;</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3) скорочення видатків на здійснення закупівлі товарів, робіт і послуг.</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b/>
          <w:i/>
          <w:color w:val="000000"/>
          <w:sz w:val="24"/>
          <w:szCs w:val="24"/>
          <w:highlight w:val="white"/>
        </w:rPr>
        <w:t>2. Спрощена закупівля автоматично відміняється електронною системою закупівель у разі:</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1) відхилення всіх пропозицій згідно</w:t>
      </w: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i/>
          <w:color w:val="000000"/>
          <w:sz w:val="24"/>
          <w:szCs w:val="24"/>
        </w:rPr>
        <w:t>з частиною 13 статті 14 Закону</w:t>
      </w:r>
      <w:r>
        <w:rPr>
          <w:rFonts w:eastAsia="Times New Roman" w:cs="Times New Roman" w:ascii="Times New Roman" w:hAnsi="Times New Roman"/>
          <w:color w:val="000000"/>
          <w:sz w:val="24"/>
          <w:szCs w:val="24"/>
        </w:rPr>
        <w:t>;</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2) відсутності пропозицій учасників для участі в ній.</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highlight w:val="white"/>
        </w:rPr>
        <w:t>Спрощена закупівля може бути відмінена частково (за лотом).</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Повідомлення про відміну закупівлі оприлюднюється в електронній системі закупівель:</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замовником </w:t>
      </w:r>
      <w:r>
        <w:rPr>
          <w:rFonts w:eastAsia="Times New Roman" w:cs="Times New Roman" w:ascii="Times New Roman" w:hAnsi="Times New Roman"/>
          <w:b/>
          <w:i/>
          <w:color w:val="000000"/>
          <w:sz w:val="24"/>
          <w:szCs w:val="24"/>
          <w:highlight w:val="white"/>
        </w:rPr>
        <w:t>протягом одного робочого дня</w:t>
      </w:r>
      <w:r>
        <w:rPr>
          <w:rFonts w:eastAsia="Times New Roman" w:cs="Times New Roman" w:ascii="Times New Roman" w:hAnsi="Times New Roman"/>
          <w:color w:val="000000"/>
          <w:sz w:val="24"/>
          <w:szCs w:val="24"/>
          <w:highlight w:val="white"/>
        </w:rPr>
        <w:t xml:space="preserve"> з дня прийняття замовником відповідного рішення;</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електронною системою закупівель </w:t>
      </w:r>
      <w:r>
        <w:rPr>
          <w:rFonts w:eastAsia="Times New Roman" w:cs="Times New Roman" w:ascii="Times New Roman" w:hAnsi="Times New Roman"/>
          <w:b/>
          <w:i/>
          <w:color w:val="000000"/>
          <w:sz w:val="24"/>
          <w:szCs w:val="24"/>
          <w:highlight w:val="white"/>
        </w:rPr>
        <w:t>протягом одного робочого дня</w:t>
      </w:r>
      <w:r>
        <w:rPr>
          <w:rFonts w:eastAsia="Times New Roman" w:cs="Times New Roman" w:ascii="Times New Roman" w:hAnsi="Times New Roman"/>
          <w:color w:val="000000"/>
          <w:sz w:val="24"/>
          <w:szCs w:val="24"/>
          <w:highlight w:val="white"/>
        </w:rPr>
        <w:t xml:space="preserve"> з дня </w:t>
      </w:r>
      <w:r>
        <w:rPr>
          <w:rFonts w:eastAsia="Times New Roman" w:cs="Times New Roman" w:ascii="Times New Roman" w:hAnsi="Times New Roman"/>
          <w:b/>
          <w:i/>
          <w:color w:val="000000"/>
          <w:sz w:val="24"/>
          <w:szCs w:val="24"/>
          <w:highlight w:val="white"/>
        </w:rPr>
        <w:t xml:space="preserve">автоматичної </w:t>
      </w:r>
      <w:r>
        <w:rPr>
          <w:rFonts w:eastAsia="Times New Roman" w:cs="Times New Roman" w:ascii="Times New Roman" w:hAnsi="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pPr>
        <w:pStyle w:val="Normal"/>
        <w:shd w:val="clear" w:color="auto" w:fill="FFFFFF"/>
        <w:spacing w:lineRule="auto" w:line="240" w:before="0" w:after="0"/>
        <w:ind w:firstLine="567"/>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ind w:left="567"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hd w:val="clear" w:color="auto" w:fill="FFFFFF"/>
        <w:spacing w:lineRule="auto" w:line="240" w:before="0" w:after="0"/>
        <w:ind w:left="567"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Строк укладання договору:</w:t>
      </w:r>
    </w:p>
    <w:p>
      <w:pPr>
        <w:pStyle w:val="Normal"/>
        <w:shd w:val="clear" w:color="auto" w:fill="FFFFFF"/>
        <w:spacing w:lineRule="auto" w:line="240" w:before="0" w:after="0"/>
        <w:ind w:left="567"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highlight w:val="white"/>
        </w:rPr>
        <w:t xml:space="preserve">Замовник укладає договір про закупівлю з учасником, який визнаний переможцем спрощеної закупівлі, </w:t>
      </w:r>
      <w:r>
        <w:rPr>
          <w:rFonts w:eastAsia="Times New Roman" w:cs="Times New Roman" w:ascii="Times New Roman" w:hAnsi="Times New Roman"/>
          <w:b/>
          <w:i/>
          <w:color w:val="000000"/>
          <w:sz w:val="24"/>
          <w:szCs w:val="24"/>
          <w:highlight w:val="white"/>
        </w:rPr>
        <w:t>не пізніше ніж через 20 днів</w:t>
      </w:r>
      <w:r>
        <w:rPr>
          <w:rFonts w:eastAsia="Times New Roman" w:cs="Times New Roman" w:ascii="Times New Roman" w:hAnsi="Times New Roman"/>
          <w:color w:val="000000"/>
          <w:sz w:val="24"/>
          <w:szCs w:val="24"/>
          <w:highlight w:val="white"/>
        </w:rPr>
        <w:t xml:space="preserve"> з дня прийняття рішення про намір укласти договір про закупівлю. </w:t>
      </w:r>
    </w:p>
    <w:p>
      <w:pPr>
        <w:pStyle w:val="Normal"/>
        <w:shd w:val="clear" w:color="auto" w:fill="FFFFFF"/>
        <w:spacing w:lineRule="auto" w:line="240" w:before="0" w:after="0"/>
        <w:ind w:firstLine="567"/>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t xml:space="preserve">Договір про закупівлю укладається згідно з вимогами статті 41 Закону. </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pPr>
        <w:pStyle w:val="Normal"/>
        <w:shd w:val="clear" w:color="auto" w:fill="FFFFFF"/>
        <w:spacing w:lineRule="auto" w:line="240" w:before="0" w:after="0"/>
        <w:ind w:firstLine="567"/>
        <w:jc w:val="both"/>
        <w:rPr>
          <w:rFonts w:ascii="Times New Roman" w:hAnsi="Times New Roman" w:eastAsia="Times New Roman" w:cs="Times New Roman"/>
          <w:sz w:val="24"/>
          <w:szCs w:val="24"/>
          <w:highlight w:val="white"/>
        </w:rPr>
      </w:pPr>
      <w:r>
        <w:rPr>
          <w:rFonts w:eastAsia="Times New Roman" w:cs="Times New Roman" w:ascii="Times New Roman" w:hAnsi="Times New Roman"/>
          <w:sz w:val="24"/>
          <w:szCs w:val="24"/>
          <w:highlight w:val="white"/>
        </w:rPr>
      </w:r>
    </w:p>
    <w:p>
      <w:pPr>
        <w:pStyle w:val="Normal"/>
        <w:spacing w:lineRule="auto" w:line="240" w:before="0" w:after="0"/>
        <w:ind w:right="120" w:firstLine="567"/>
        <w:jc w:val="both"/>
        <w:rPr>
          <w:rFonts w:ascii="Times New Roman" w:hAnsi="Times New Roman" w:eastAsia="Times New Roman" w:cs="Times New Roman"/>
          <w:color w:val="000000"/>
          <w:sz w:val="24"/>
          <w:szCs w:val="24"/>
          <w:highlight w:val="white"/>
        </w:rPr>
      </w:pPr>
      <w:r>
        <w:rPr>
          <w:rFonts w:eastAsia="Times New Roman" w:cs="Times New Roman" w:ascii="Times New Roman" w:hAnsi="Times New Roman"/>
          <w:color w:val="000000"/>
          <w:sz w:val="24"/>
          <w:szCs w:val="24"/>
          <w:highlight w:val="white"/>
        </w:rPr>
      </w:r>
    </w:p>
    <w:p>
      <w:pPr>
        <w:pStyle w:val="Normal"/>
        <w:spacing w:lineRule="auto" w:line="240" w:before="0" w:after="0"/>
        <w:ind w:firstLine="567"/>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Додатки до Оголошення про проведення спрощеної закупівлі:</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Додаток № 1 – </w:t>
      </w:r>
      <w:r>
        <w:rPr>
          <w:rFonts w:eastAsia="Times New Roman" w:cs="Times New Roman" w:ascii="Times New Roman" w:hAnsi="Times New Roman"/>
          <w:sz w:val="24"/>
          <w:szCs w:val="24"/>
        </w:rPr>
        <w:t>Вимоги до учасника;</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Додаток № 2 – </w:t>
      </w:r>
      <w:r>
        <w:rPr>
          <w:rFonts w:eastAsia="Times New Roman" w:cs="Times New Roman" w:ascii="Times New Roman" w:hAnsi="Times New Roman"/>
          <w:color w:val="000000"/>
          <w:sz w:val="24"/>
          <w:szCs w:val="24"/>
        </w:rPr>
        <w:t>Інформація про технічні, якісні та інші характеристики предмета закупівлі</w:t>
      </w:r>
    </w:p>
    <w:p>
      <w:pPr>
        <w:pStyle w:val="Normal"/>
        <w:spacing w:lineRule="auto" w:line="240"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Додаток № 3 – Проект договору </w:t>
      </w:r>
    </w:p>
    <w:p>
      <w:pPr>
        <w:pStyle w:val="Normal"/>
        <w:tabs>
          <w:tab w:val="clear" w:pos="720"/>
          <w:tab w:val="right" w:pos="9639" w:leader="none"/>
        </w:tabs>
        <w:spacing w:lineRule="auto" w:line="240" w:before="0" w:after="0"/>
        <w:ind w:firstLine="567"/>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before="0" w:after="200"/>
        <w:rPr>
          <w:rFonts w:ascii="Times New Roman" w:hAnsi="Times New Roman" w:eastAsia="Times New Roman" w:cs="Times New Roman"/>
          <w:b/>
          <w:b/>
          <w:color w:val="000000"/>
          <w:sz w:val="24"/>
          <w:szCs w:val="24"/>
        </w:rPr>
      </w:pPr>
      <w:r>
        <w:rPr/>
      </w:r>
    </w:p>
    <w:sectPr>
      <w:type w:val="nextPage"/>
      <w:pgSz w:w="11906" w:h="16838"/>
      <w:pgMar w:left="1418" w:right="566" w:header="0" w:top="851" w:footer="0" w:bottom="85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Georgia">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FontStyle13" w:customStyle="1">
    <w:name w:val="Font Style13"/>
    <w:basedOn w:val="DefaultParagraphFont"/>
    <w:uiPriority w:val="99"/>
    <w:qFormat/>
    <w:rsid w:val="007a5bf3"/>
    <w:rPr>
      <w:rFonts w:ascii="Times New Roman" w:hAnsi="Times New Roman" w:cs="Times New Roman"/>
      <w:sz w:val="22"/>
      <w:szCs w:val="22"/>
    </w:rPr>
  </w:style>
  <w:style w:type="character" w:styleId="Style8" w:customStyle="1">
    <w:name w:val="Основной текст с отступом Знак"/>
    <w:basedOn w:val="DefaultParagraphFont"/>
    <w:link w:val="a9"/>
    <w:qFormat/>
    <w:rsid w:val="007a5bf3"/>
    <w:rPr>
      <w:rFonts w:ascii="Times New Roman" w:hAnsi="Times New Roman" w:eastAsia="Times New Roman" w:cs="Times New Roman"/>
      <w:color w:val="000000"/>
      <w:kern w:val="2"/>
      <w:sz w:val="24"/>
      <w:szCs w:val="20"/>
      <w:lang w:eastAsia="zh-CN" w:bidi="hi-IN"/>
    </w:rPr>
  </w:style>
  <w:style w:type="character" w:styleId="Style9" w:customStyle="1">
    <w:name w:val="Текст выноски Знак"/>
    <w:basedOn w:val="DefaultParagraphFont"/>
    <w:link w:val="ac"/>
    <w:uiPriority w:val="99"/>
    <w:semiHidden/>
    <w:qFormat/>
    <w:rsid w:val="00645b15"/>
    <w:rPr>
      <w:rFonts w:ascii="Segoe UI" w:hAnsi="Segoe UI" w:cs="Segoe UI"/>
      <w:sz w:val="18"/>
      <w:szCs w:val="18"/>
    </w:rPr>
  </w:style>
  <w:style w:type="character" w:styleId="Style10">
    <w:name w:val="Гіперпосилання"/>
    <w:rPr>
      <w:color w:val="000080"/>
      <w:u w:val="single"/>
      <w:lang w:val="zxx" w:eastAsia="zxx" w:bidi="zxx"/>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Покажчик"/>
    <w:basedOn w:val="Normal"/>
    <w:qFormat/>
    <w:pPr>
      <w:suppressLineNumbers/>
    </w:pPr>
    <w:rPr>
      <w:rFonts w:cs="Arial"/>
    </w:rPr>
  </w:style>
  <w:style w:type="paragraph" w:styleId="Style16">
    <w:name w:val="Title"/>
    <w:basedOn w:val="Normal"/>
    <w:next w:val="Normal"/>
    <w:qFormat/>
    <w:pPr>
      <w:keepNext w:val="true"/>
      <w:keepLines/>
      <w:spacing w:before="480" w:after="120"/>
    </w:pPr>
    <w:rPr>
      <w:b/>
      <w:sz w:val="72"/>
      <w:szCs w:val="72"/>
    </w:rPr>
  </w:style>
  <w:style w:type="paragraph" w:styleId="Style17">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a4527c"/>
    <w:pPr>
      <w:spacing w:before="0" w:after="200"/>
      <w:ind w:left="720" w:hanging="0"/>
      <w:contextualSpacing/>
    </w:pPr>
    <w:rPr/>
  </w:style>
  <w:style w:type="paragraph" w:styleId="11" w:customStyle="1">
    <w:name w:val="Без интервала1"/>
    <w:uiPriority w:val="99"/>
    <w:qFormat/>
    <w:rsid w:val="007a5bf3"/>
    <w:pPr>
      <w:widowControl/>
      <w:suppressAutoHyphens w:val="true"/>
      <w:bidi w:val="0"/>
      <w:spacing w:lineRule="auto" w:line="240" w:before="0" w:after="0"/>
      <w:jc w:val="left"/>
    </w:pPr>
    <w:rPr>
      <w:rFonts w:ascii="Calibri" w:hAnsi="Calibri" w:eastAsia="Droid Sans" w:cs="Calibri"/>
      <w:color w:val="00000A"/>
      <w:kern w:val="2"/>
      <w:sz w:val="22"/>
      <w:szCs w:val="22"/>
      <w:lang w:val="ru-RU" w:eastAsia="zh-CN" w:bidi="ar-SA"/>
    </w:rPr>
  </w:style>
  <w:style w:type="paragraph" w:styleId="Style18">
    <w:name w:val="Body Text Indent"/>
    <w:basedOn w:val="Normal"/>
    <w:link w:val="aa"/>
    <w:rsid w:val="007a5bf3"/>
    <w:pPr>
      <w:widowControl w:val="false"/>
      <w:suppressAutoHyphens w:val="true"/>
      <w:spacing w:lineRule="auto" w:line="240" w:before="0" w:after="0"/>
      <w:ind w:right="-341" w:firstLine="720"/>
      <w:jc w:val="both"/>
    </w:pPr>
    <w:rPr>
      <w:rFonts w:ascii="Times New Roman" w:hAnsi="Times New Roman" w:eastAsia="Times New Roman" w:cs="Times New Roman"/>
      <w:color w:val="000000"/>
      <w:kern w:val="2"/>
      <w:sz w:val="24"/>
      <w:szCs w:val="20"/>
      <w:lang w:eastAsia="zh-CN" w:bidi="hi-IN"/>
    </w:rPr>
  </w:style>
  <w:style w:type="paragraph" w:styleId="21" w:customStyle="1">
    <w:name w:val="Без интервала2"/>
    <w:qFormat/>
    <w:rsid w:val="007a5bf3"/>
    <w:pPr>
      <w:widowControl/>
      <w:suppressAutoHyphens w:val="true"/>
      <w:bidi w:val="0"/>
      <w:spacing w:lineRule="auto" w:line="240" w:before="0" w:after="0"/>
      <w:jc w:val="left"/>
    </w:pPr>
    <w:rPr>
      <w:rFonts w:ascii="Calibri" w:hAnsi="Calibri" w:eastAsia="Droid Sans" w:cs="Calibri"/>
      <w:color w:val="00000A"/>
      <w:kern w:val="2"/>
      <w:sz w:val="22"/>
      <w:szCs w:val="22"/>
      <w:lang w:val="ru-RU" w:eastAsia="zh-CN" w:bidi="ar-SA"/>
    </w:rPr>
  </w:style>
  <w:style w:type="paragraph" w:styleId="BalloonText">
    <w:name w:val="Balloon Text"/>
    <w:basedOn w:val="Normal"/>
    <w:link w:val="ad"/>
    <w:uiPriority w:val="99"/>
    <w:semiHidden/>
    <w:unhideWhenUsed/>
    <w:qFormat/>
    <w:rsid w:val="00645b15"/>
    <w:pPr>
      <w:spacing w:lineRule="auto" w:line="240" w:before="0" w:after="0"/>
    </w:pPr>
    <w:rPr>
      <w:rFonts w:ascii="Segoe UI" w:hAnsi="Segoe UI" w:cs="Segoe UI"/>
      <w:sz w:val="18"/>
      <w:szCs w:val="18"/>
    </w:rPr>
  </w:style>
  <w:style w:type="paragraph" w:styleId="NoSpacing">
    <w:name w:val="No Spacing"/>
    <w:qFormat/>
    <w:rsid w:val="00c6155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ShiftCtrlAlt" w:customStyle="1">
    <w:name w:val="Таблица_основной_текст (Таблица__Shift+Ctrl_Alt)"/>
    <w:uiPriority w:val="99"/>
    <w:qFormat/>
    <w:rsid w:val="007721b0"/>
    <w:pPr>
      <w:widowControl/>
      <w:suppressAutoHyphens w:val="true"/>
      <w:bidi w:val="0"/>
      <w:spacing w:lineRule="atLeast" w:line="200" w:before="0" w:after="0"/>
      <w:jc w:val="left"/>
      <w:textAlignment w:val="center"/>
    </w:pPr>
    <w:rPr>
      <w:rFonts w:ascii="Times New Roman" w:hAnsi="Times New Roman" w:eastAsia="Cambria" w:cs="Myriad Pro" w:eastAsiaTheme="minorHAnsi"/>
      <w:color w:val="000000"/>
      <w:kern w:val="0"/>
      <w:sz w:val="22"/>
      <w:szCs w:val="18"/>
      <w:lang w:val="ru-RU" w:eastAsia="en-US" w:bidi="ar-SA"/>
    </w:rPr>
  </w:style>
  <w:style w:type="paragraph" w:styleId="Style19">
    <w:name w:val="Вміст таблиці"/>
    <w:basedOn w:val="Normal"/>
    <w:qFormat/>
    <w:pPr>
      <w:widowControl w:val="false"/>
      <w:suppressLineNumbers/>
    </w:pPr>
    <w:rPr/>
  </w:style>
  <w:style w:type="paragraph" w:styleId="Style20">
    <w:name w:val="Заголовок таблиці"/>
    <w:basedOn w:val="Style19"/>
    <w:qFormat/>
    <w:pPr>
      <w:suppressLineNumbers/>
      <w:jc w:val="center"/>
    </w:pPr>
    <w:rPr>
      <w:b/>
      <w:bCs/>
    </w:rPr>
  </w:style>
  <w:style w:type="paragraph" w:styleId="12">
    <w:name w:val="Обычный + 12 пт"/>
    <w:basedOn w:val="Normal"/>
    <w:qFormat/>
    <w:pPr/>
    <w:rPr>
      <w:sz w:val="24"/>
      <w:szCs w:val="24"/>
      <w:lang w:val="uk-U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11">
    <w:name w:val="Сетка таблицы1"/>
    <w:basedOn w:val="a1"/>
    <w:uiPriority w:val="59"/>
    <w:rsid w:val="007a5bf3"/>
    <w:pPr>
      <w:spacing w:after="0" w:line="240" w:lineRule="auto"/>
    </w:pPr>
    <w:rPr>
      <w:rFonts w:asciiTheme="minorHAnsi" w:hAnsiTheme="minorHAnsi" w:eastAsiaTheme="minorHAnsi" w:cstheme="minorBidi"/>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0">
    <w:name w:val="Сетка таблицы3"/>
    <w:basedOn w:val="a1"/>
    <w:uiPriority w:val="59"/>
    <w:rsid w:val="007a5bf3"/>
    <w:pPr>
      <w:spacing w:after="0" w:line="240" w:lineRule="auto"/>
    </w:pPr>
    <w:rPr>
      <w:rFonts w:asciiTheme="minorHAnsi" w:hAnsiTheme="minorHAnsi" w:eastAsiaTheme="minorHAnsi" w:cstheme="minorBidi"/>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b">
    <w:name w:val="Table Grid"/>
    <w:basedOn w:val="a1"/>
    <w:uiPriority w:val="39"/>
    <w:rsid w:val="007a5b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kalszks@ukr.net" TargetMode="External"/><Relationship Id="rId3" Type="http://schemas.openxmlformats.org/officeDocument/2006/relationships/hyperlink" Target="https://zakon.rada.gov.ua/laws/show/2155-19" TargetMode="External"/><Relationship Id="rId4" Type="http://schemas.openxmlformats.org/officeDocument/2006/relationships/hyperlink" Target="https://czo.gov.ua/verify"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Application>LibreOffice/7.1.6.2$Windows_X86_64 LibreOffice_project/0e133318fcee89abacd6a7d077e292f1145735c3</Application>
  <AppVersion>15.0000</AppVersion>
  <Pages>3</Pages>
  <Words>954</Words>
  <Characters>6330</Characters>
  <CharactersWithSpaces>7253</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2020-08-19T07:41:00Z</dcterms:created>
  <dc:creator>svitlana</dc:creator>
  <dc:description/>
  <dc:language>ru-RU</dc:language>
  <cp:lastModifiedBy/>
  <cp:lastPrinted>2020-12-11T13:01:00Z</cp:lastPrinted>
  <dcterms:modified xsi:type="dcterms:W3CDTF">2022-08-29T16:36:13Z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