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645E2525"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ED5599" w:rsidRPr="00ED5599">
        <w:rPr>
          <w:b/>
          <w:sz w:val="22"/>
          <w:lang w:eastAsia="ru-RU"/>
        </w:rPr>
        <w:t>Крупи (вівсяна, гречана, перлова, пшона, ячна, пшенична, кукурудзяна), рис та борошно; 15610000-7 - Продукція борошномельно-круп'яної промисловості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ED5599"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ED5599" w:rsidRDefault="009A54D6" w:rsidP="00464F33">
            <w:pPr>
              <w:spacing w:after="0" w:line="240" w:lineRule="auto"/>
              <w:contextualSpacing/>
              <w:jc w:val="center"/>
              <w:rPr>
                <w:b/>
                <w:sz w:val="22"/>
              </w:rPr>
            </w:pPr>
            <w:r w:rsidRPr="00ED5599">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ED5599" w:rsidRDefault="009A54D6" w:rsidP="00464F33">
            <w:pPr>
              <w:spacing w:after="0" w:line="240" w:lineRule="auto"/>
              <w:contextualSpacing/>
              <w:jc w:val="center"/>
              <w:rPr>
                <w:b/>
                <w:sz w:val="22"/>
              </w:rPr>
            </w:pPr>
            <w:r w:rsidRPr="00ED5599">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ED5599" w:rsidRDefault="009A54D6" w:rsidP="00464F33">
            <w:pPr>
              <w:spacing w:after="0" w:line="240" w:lineRule="auto"/>
              <w:contextualSpacing/>
              <w:jc w:val="center"/>
              <w:rPr>
                <w:b/>
                <w:sz w:val="22"/>
              </w:rPr>
            </w:pPr>
            <w:r w:rsidRPr="00ED5599">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ED5599" w:rsidRDefault="00B3275D" w:rsidP="00464F33">
            <w:pPr>
              <w:spacing w:after="0" w:line="240" w:lineRule="auto"/>
              <w:contextualSpacing/>
              <w:jc w:val="center"/>
              <w:rPr>
                <w:b/>
                <w:sz w:val="22"/>
              </w:rPr>
            </w:pPr>
            <w:r w:rsidRPr="00ED5599">
              <w:rPr>
                <w:b/>
                <w:sz w:val="22"/>
              </w:rPr>
              <w:t>Планов</w:t>
            </w:r>
            <w:r w:rsidR="00F91B30" w:rsidRPr="00ED5599">
              <w:rPr>
                <w:b/>
                <w:sz w:val="22"/>
              </w:rPr>
              <w:t>і</w:t>
            </w:r>
            <w:r w:rsidRPr="00ED5599">
              <w:rPr>
                <w:b/>
                <w:sz w:val="22"/>
              </w:rPr>
              <w:t xml:space="preserve"> </w:t>
            </w:r>
            <w:r w:rsidR="00F91B30" w:rsidRPr="00ED5599">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ED5599" w:rsidRDefault="009A54D6" w:rsidP="00464F33">
            <w:pPr>
              <w:spacing w:after="0" w:line="240" w:lineRule="auto"/>
              <w:contextualSpacing/>
              <w:jc w:val="center"/>
              <w:rPr>
                <w:b/>
                <w:sz w:val="22"/>
              </w:rPr>
            </w:pPr>
            <w:r w:rsidRPr="00ED5599">
              <w:rPr>
                <w:b/>
                <w:sz w:val="22"/>
              </w:rPr>
              <w:t>Ціна за одиницю виміру, грн.</w:t>
            </w:r>
          </w:p>
          <w:p w14:paraId="64EF30EF" w14:textId="77777777" w:rsidR="009A54D6" w:rsidRPr="00ED5599" w:rsidRDefault="00A80BB2" w:rsidP="00464F33">
            <w:pPr>
              <w:spacing w:after="0" w:line="240" w:lineRule="auto"/>
              <w:contextualSpacing/>
              <w:jc w:val="center"/>
              <w:rPr>
                <w:b/>
                <w:sz w:val="22"/>
              </w:rPr>
            </w:pPr>
            <w:r w:rsidRPr="00ED5599">
              <w:rPr>
                <w:b/>
                <w:sz w:val="22"/>
              </w:rPr>
              <w:t>(з/без ПДВ</w:t>
            </w:r>
            <w:r w:rsidR="009A54D6" w:rsidRPr="00ED5599">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ED5599" w:rsidRDefault="009A54D6" w:rsidP="00464F33">
            <w:pPr>
              <w:spacing w:after="0" w:line="240" w:lineRule="auto"/>
              <w:contextualSpacing/>
              <w:jc w:val="center"/>
              <w:rPr>
                <w:b/>
                <w:sz w:val="22"/>
              </w:rPr>
            </w:pPr>
            <w:r w:rsidRPr="00ED5599">
              <w:rPr>
                <w:b/>
                <w:sz w:val="22"/>
              </w:rPr>
              <w:t>Загальна вартість, грн.</w:t>
            </w:r>
          </w:p>
          <w:p w14:paraId="5F54AF00" w14:textId="77777777" w:rsidR="009A54D6" w:rsidRPr="00ED5599" w:rsidRDefault="00A80BB2" w:rsidP="00464F33">
            <w:pPr>
              <w:spacing w:after="0" w:line="240" w:lineRule="auto"/>
              <w:contextualSpacing/>
              <w:jc w:val="center"/>
              <w:rPr>
                <w:b/>
                <w:sz w:val="22"/>
              </w:rPr>
            </w:pPr>
            <w:r w:rsidRPr="00ED5599">
              <w:rPr>
                <w:b/>
                <w:sz w:val="22"/>
              </w:rPr>
              <w:t>(з/без ПДВ</w:t>
            </w:r>
            <w:r w:rsidR="009A54D6" w:rsidRPr="00ED5599">
              <w:rPr>
                <w:b/>
                <w:sz w:val="22"/>
              </w:rPr>
              <w:t>)</w:t>
            </w:r>
          </w:p>
        </w:tc>
      </w:tr>
      <w:tr w:rsidR="00ED5599" w:rsidRPr="00ED5599" w14:paraId="78C429B0" w14:textId="77777777" w:rsidTr="00C93358">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982B141" w:rsidR="00ED5599" w:rsidRPr="00ED5599" w:rsidRDefault="00ED5599" w:rsidP="00ED5599">
            <w:pPr>
              <w:spacing w:after="0" w:line="240" w:lineRule="auto"/>
              <w:contextualSpacing/>
              <w:jc w:val="center"/>
              <w:rPr>
                <w:sz w:val="22"/>
              </w:rPr>
            </w:pPr>
            <w:r w:rsidRPr="00ED5599">
              <w:rPr>
                <w:sz w:val="22"/>
                <w:lang w:eastAsia="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C0BB8" w14:textId="2D2D657E" w:rsidR="00ED5599" w:rsidRPr="00ED5599" w:rsidRDefault="00ED5599" w:rsidP="00ED5599">
            <w:pPr>
              <w:spacing w:after="0" w:line="240" w:lineRule="auto"/>
              <w:jc w:val="center"/>
              <w:rPr>
                <w:sz w:val="22"/>
                <w:lang w:eastAsia="uk-UA"/>
              </w:rPr>
            </w:pPr>
            <w:r w:rsidRPr="00ED5599">
              <w:rPr>
                <w:sz w:val="22"/>
              </w:rPr>
              <w:t>Вівсяні пластівці</w:t>
            </w:r>
          </w:p>
        </w:tc>
        <w:tc>
          <w:tcPr>
            <w:tcW w:w="1418" w:type="dxa"/>
            <w:tcBorders>
              <w:top w:val="single" w:sz="4" w:space="0" w:color="auto"/>
              <w:left w:val="single" w:sz="4" w:space="0" w:color="auto"/>
              <w:bottom w:val="single" w:sz="4" w:space="0" w:color="auto"/>
              <w:right w:val="single" w:sz="4" w:space="0" w:color="auto"/>
            </w:tcBorders>
          </w:tcPr>
          <w:p w14:paraId="4CFA44B8" w14:textId="00AE6B37"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382B2D7F" w14:textId="2E997F63" w:rsidR="00ED5599" w:rsidRPr="00ED5599" w:rsidRDefault="00ED5599" w:rsidP="00ED5599">
            <w:pPr>
              <w:spacing w:after="0" w:line="240" w:lineRule="auto"/>
              <w:jc w:val="center"/>
              <w:rPr>
                <w:sz w:val="22"/>
                <w:lang w:eastAsia="ru-RU"/>
              </w:rPr>
            </w:pPr>
            <w:r w:rsidRPr="00ED5599">
              <w:rPr>
                <w:sz w:val="22"/>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142D298E"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ED5599" w:rsidRPr="00ED5599" w:rsidRDefault="00ED5599" w:rsidP="00ED5599">
            <w:pPr>
              <w:spacing w:after="0" w:line="240" w:lineRule="auto"/>
              <w:contextualSpacing/>
              <w:jc w:val="center"/>
              <w:rPr>
                <w:sz w:val="22"/>
              </w:rPr>
            </w:pPr>
          </w:p>
        </w:tc>
      </w:tr>
      <w:tr w:rsidR="00ED5599" w:rsidRPr="00ED5599" w14:paraId="42EB085B" w14:textId="77777777" w:rsidTr="00C93358">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21D5D336" w:rsidR="00ED5599" w:rsidRPr="00ED5599" w:rsidRDefault="00ED5599" w:rsidP="00ED5599">
            <w:pPr>
              <w:spacing w:after="0" w:line="240" w:lineRule="auto"/>
              <w:contextualSpacing/>
              <w:jc w:val="center"/>
              <w:rPr>
                <w:sz w:val="22"/>
              </w:rPr>
            </w:pPr>
            <w:r w:rsidRPr="00ED5599">
              <w:rPr>
                <w:sz w:val="22"/>
                <w:lang w:eastAsia="uk-UA"/>
              </w:rPr>
              <w:t>2.</w:t>
            </w:r>
          </w:p>
        </w:tc>
        <w:tc>
          <w:tcPr>
            <w:tcW w:w="2835" w:type="dxa"/>
            <w:tcBorders>
              <w:top w:val="nil"/>
              <w:left w:val="single" w:sz="4" w:space="0" w:color="auto"/>
              <w:bottom w:val="single" w:sz="4" w:space="0" w:color="auto"/>
              <w:right w:val="single" w:sz="4" w:space="0" w:color="auto"/>
            </w:tcBorders>
            <w:shd w:val="clear" w:color="auto" w:fill="auto"/>
          </w:tcPr>
          <w:p w14:paraId="06377EF6" w14:textId="39EF20D8" w:rsidR="00ED5599" w:rsidRPr="00ED5599" w:rsidRDefault="00ED5599" w:rsidP="00ED5599">
            <w:pPr>
              <w:spacing w:after="0" w:line="240" w:lineRule="auto"/>
              <w:jc w:val="center"/>
              <w:rPr>
                <w:sz w:val="22"/>
                <w:lang w:eastAsia="uk-UA"/>
              </w:rPr>
            </w:pPr>
            <w:r w:rsidRPr="00ED5599">
              <w:rPr>
                <w:sz w:val="22"/>
              </w:rPr>
              <w:t>Крупа гречана</w:t>
            </w:r>
          </w:p>
        </w:tc>
        <w:tc>
          <w:tcPr>
            <w:tcW w:w="1418" w:type="dxa"/>
            <w:tcBorders>
              <w:top w:val="single" w:sz="4" w:space="0" w:color="auto"/>
              <w:left w:val="single" w:sz="4" w:space="0" w:color="auto"/>
              <w:bottom w:val="single" w:sz="4" w:space="0" w:color="auto"/>
              <w:right w:val="single" w:sz="4" w:space="0" w:color="auto"/>
            </w:tcBorders>
          </w:tcPr>
          <w:p w14:paraId="1A0E4FCD" w14:textId="19A8EFB1" w:rsidR="00ED5599" w:rsidRPr="00ED5599" w:rsidRDefault="00ED5599" w:rsidP="00ED5599">
            <w:pPr>
              <w:spacing w:after="0" w:line="240" w:lineRule="auto"/>
              <w:jc w:val="center"/>
              <w:rPr>
                <w:sz w:val="22"/>
                <w:lang w:eastAsia="uk-UA"/>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32183A4C" w14:textId="7AB7974C" w:rsidR="00ED5599" w:rsidRPr="00ED5599" w:rsidRDefault="00ED5599" w:rsidP="00ED5599">
            <w:pPr>
              <w:spacing w:after="0" w:line="240" w:lineRule="auto"/>
              <w:jc w:val="center"/>
              <w:rPr>
                <w:sz w:val="22"/>
                <w:lang w:eastAsia="uk-UA"/>
              </w:rPr>
            </w:pPr>
            <w:r w:rsidRPr="00ED5599">
              <w:rPr>
                <w:sz w:val="22"/>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668152BE"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0A503AC3" w14:textId="77777777" w:rsidR="00ED5599" w:rsidRPr="00ED5599" w:rsidRDefault="00ED5599" w:rsidP="00ED5599">
            <w:pPr>
              <w:spacing w:after="0" w:line="240" w:lineRule="auto"/>
              <w:contextualSpacing/>
              <w:jc w:val="center"/>
              <w:rPr>
                <w:sz w:val="22"/>
              </w:rPr>
            </w:pPr>
          </w:p>
        </w:tc>
      </w:tr>
      <w:tr w:rsidR="00ED5599" w:rsidRPr="00ED5599" w14:paraId="06632B2C"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3380A923" w14:textId="21BEF663" w:rsidR="00ED5599" w:rsidRPr="00ED5599" w:rsidRDefault="00ED5599" w:rsidP="00ED5599">
            <w:pPr>
              <w:spacing w:after="0" w:line="240" w:lineRule="auto"/>
              <w:contextualSpacing/>
              <w:jc w:val="center"/>
              <w:rPr>
                <w:sz w:val="22"/>
              </w:rPr>
            </w:pPr>
            <w:r w:rsidRPr="00ED5599">
              <w:rPr>
                <w:sz w:val="22"/>
                <w:lang w:eastAsia="uk-UA"/>
              </w:rPr>
              <w:t>3.</w:t>
            </w:r>
          </w:p>
        </w:tc>
        <w:tc>
          <w:tcPr>
            <w:tcW w:w="2835" w:type="dxa"/>
            <w:tcBorders>
              <w:top w:val="nil"/>
              <w:left w:val="single" w:sz="4" w:space="0" w:color="auto"/>
              <w:bottom w:val="single" w:sz="4" w:space="0" w:color="auto"/>
              <w:right w:val="single" w:sz="4" w:space="0" w:color="auto"/>
            </w:tcBorders>
            <w:shd w:val="clear" w:color="auto" w:fill="auto"/>
          </w:tcPr>
          <w:p w14:paraId="69E57695" w14:textId="1E26FC9D" w:rsidR="00ED5599" w:rsidRPr="00ED5599" w:rsidRDefault="00ED5599" w:rsidP="00ED5599">
            <w:pPr>
              <w:pStyle w:val="p10"/>
              <w:spacing w:before="0" w:beforeAutospacing="0" w:after="0" w:afterAutospacing="0"/>
              <w:contextualSpacing/>
              <w:jc w:val="center"/>
              <w:rPr>
                <w:rFonts w:eastAsia="Arial"/>
                <w:color w:val="000000"/>
                <w:sz w:val="22"/>
                <w:szCs w:val="22"/>
                <w:lang w:val="uk-UA"/>
              </w:rPr>
            </w:pPr>
            <w:r w:rsidRPr="00ED5599">
              <w:rPr>
                <w:sz w:val="22"/>
                <w:szCs w:val="22"/>
                <w:lang w:val="uk-UA"/>
              </w:rPr>
              <w:t>Крупа перлова</w:t>
            </w:r>
          </w:p>
        </w:tc>
        <w:tc>
          <w:tcPr>
            <w:tcW w:w="1418" w:type="dxa"/>
            <w:tcBorders>
              <w:top w:val="single" w:sz="4" w:space="0" w:color="auto"/>
              <w:left w:val="single" w:sz="4" w:space="0" w:color="auto"/>
              <w:bottom w:val="single" w:sz="4" w:space="0" w:color="auto"/>
              <w:right w:val="single" w:sz="4" w:space="0" w:color="auto"/>
            </w:tcBorders>
          </w:tcPr>
          <w:p w14:paraId="23032E4A" w14:textId="532E0300"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4C137F89" w14:textId="5A8AC39B" w:rsidR="00ED5599" w:rsidRPr="00ED5599" w:rsidRDefault="00ED5599" w:rsidP="00ED5599">
            <w:pPr>
              <w:spacing w:after="0" w:line="240" w:lineRule="auto"/>
              <w:jc w:val="center"/>
              <w:rPr>
                <w:sz w:val="22"/>
                <w:lang w:eastAsia="ru-RU"/>
              </w:rPr>
            </w:pPr>
            <w:r w:rsidRPr="00ED5599">
              <w:rPr>
                <w:sz w:val="22"/>
              </w:rPr>
              <w:t>700</w:t>
            </w:r>
          </w:p>
        </w:tc>
        <w:tc>
          <w:tcPr>
            <w:tcW w:w="1843" w:type="dxa"/>
            <w:tcBorders>
              <w:top w:val="single" w:sz="4" w:space="0" w:color="auto"/>
              <w:left w:val="single" w:sz="4" w:space="0" w:color="auto"/>
              <w:bottom w:val="single" w:sz="4" w:space="0" w:color="auto"/>
              <w:right w:val="single" w:sz="4" w:space="0" w:color="auto"/>
            </w:tcBorders>
            <w:vAlign w:val="center"/>
          </w:tcPr>
          <w:p w14:paraId="23107C85"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4A85B450" w14:textId="77777777" w:rsidR="00ED5599" w:rsidRPr="00ED5599" w:rsidRDefault="00ED5599" w:rsidP="00ED5599">
            <w:pPr>
              <w:spacing w:after="0" w:line="240" w:lineRule="auto"/>
              <w:contextualSpacing/>
              <w:jc w:val="center"/>
              <w:rPr>
                <w:sz w:val="22"/>
              </w:rPr>
            </w:pPr>
          </w:p>
        </w:tc>
      </w:tr>
      <w:tr w:rsidR="00ED5599" w:rsidRPr="00ED5599" w14:paraId="29534F10"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1CC8B30B" w14:textId="49AE56E3" w:rsidR="00ED5599" w:rsidRPr="00ED5599" w:rsidRDefault="00ED5599" w:rsidP="00ED5599">
            <w:pPr>
              <w:spacing w:after="0" w:line="240" w:lineRule="auto"/>
              <w:contextualSpacing/>
              <w:jc w:val="center"/>
              <w:rPr>
                <w:sz w:val="22"/>
              </w:rPr>
            </w:pPr>
            <w:r w:rsidRPr="00ED5599">
              <w:rPr>
                <w:sz w:val="22"/>
                <w:lang w:eastAsia="uk-UA"/>
              </w:rPr>
              <w:t>4.</w:t>
            </w:r>
          </w:p>
        </w:tc>
        <w:tc>
          <w:tcPr>
            <w:tcW w:w="2835" w:type="dxa"/>
            <w:tcBorders>
              <w:top w:val="nil"/>
              <w:left w:val="single" w:sz="4" w:space="0" w:color="auto"/>
              <w:bottom w:val="single" w:sz="4" w:space="0" w:color="auto"/>
              <w:right w:val="single" w:sz="4" w:space="0" w:color="auto"/>
            </w:tcBorders>
            <w:shd w:val="clear" w:color="auto" w:fill="auto"/>
          </w:tcPr>
          <w:p w14:paraId="5A896EDB" w14:textId="58F01863" w:rsidR="00ED5599" w:rsidRPr="00ED5599" w:rsidRDefault="00ED5599" w:rsidP="00ED5599">
            <w:pPr>
              <w:pStyle w:val="p10"/>
              <w:spacing w:before="0" w:beforeAutospacing="0" w:after="0" w:afterAutospacing="0"/>
              <w:contextualSpacing/>
              <w:jc w:val="center"/>
              <w:rPr>
                <w:bCs/>
                <w:sz w:val="22"/>
                <w:szCs w:val="22"/>
                <w:lang w:val="uk-UA" w:eastAsia="uk-UA"/>
              </w:rPr>
            </w:pPr>
            <w:r w:rsidRPr="00ED5599">
              <w:rPr>
                <w:sz w:val="22"/>
                <w:szCs w:val="22"/>
                <w:lang w:val="uk-UA"/>
              </w:rPr>
              <w:t>Крупа пшона</w:t>
            </w:r>
          </w:p>
        </w:tc>
        <w:tc>
          <w:tcPr>
            <w:tcW w:w="1418" w:type="dxa"/>
            <w:tcBorders>
              <w:top w:val="single" w:sz="4" w:space="0" w:color="auto"/>
              <w:left w:val="single" w:sz="4" w:space="0" w:color="auto"/>
              <w:bottom w:val="single" w:sz="4" w:space="0" w:color="auto"/>
              <w:right w:val="single" w:sz="4" w:space="0" w:color="auto"/>
            </w:tcBorders>
          </w:tcPr>
          <w:p w14:paraId="656EBACC" w14:textId="11EFF329"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64010BE2" w14:textId="4887F1E3" w:rsidR="00ED5599" w:rsidRPr="00ED5599" w:rsidRDefault="00ED5599" w:rsidP="00ED5599">
            <w:pPr>
              <w:spacing w:after="0" w:line="240" w:lineRule="auto"/>
              <w:jc w:val="center"/>
              <w:rPr>
                <w:sz w:val="22"/>
                <w:lang w:eastAsia="ru-RU"/>
              </w:rPr>
            </w:pPr>
            <w:r w:rsidRPr="00ED5599">
              <w:rPr>
                <w:sz w:val="22"/>
              </w:rPr>
              <w:t>850</w:t>
            </w:r>
          </w:p>
        </w:tc>
        <w:tc>
          <w:tcPr>
            <w:tcW w:w="1843" w:type="dxa"/>
            <w:tcBorders>
              <w:top w:val="single" w:sz="4" w:space="0" w:color="auto"/>
              <w:left w:val="single" w:sz="4" w:space="0" w:color="auto"/>
              <w:bottom w:val="single" w:sz="4" w:space="0" w:color="auto"/>
              <w:right w:val="single" w:sz="4" w:space="0" w:color="auto"/>
            </w:tcBorders>
            <w:vAlign w:val="center"/>
          </w:tcPr>
          <w:p w14:paraId="1731CCE6"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6C8E4754" w14:textId="77777777" w:rsidR="00ED5599" w:rsidRPr="00ED5599" w:rsidRDefault="00ED5599" w:rsidP="00ED5599">
            <w:pPr>
              <w:spacing w:after="0" w:line="240" w:lineRule="auto"/>
              <w:contextualSpacing/>
              <w:jc w:val="center"/>
              <w:rPr>
                <w:sz w:val="22"/>
              </w:rPr>
            </w:pPr>
          </w:p>
        </w:tc>
      </w:tr>
      <w:tr w:rsidR="00ED5599" w:rsidRPr="00ED5599" w14:paraId="4E1AF6B1"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7C0CE1DD" w14:textId="7481E1A3" w:rsidR="00ED5599" w:rsidRPr="00ED5599" w:rsidRDefault="00ED5599" w:rsidP="00ED5599">
            <w:pPr>
              <w:spacing w:after="0" w:line="240" w:lineRule="auto"/>
              <w:contextualSpacing/>
              <w:jc w:val="center"/>
              <w:rPr>
                <w:sz w:val="22"/>
              </w:rPr>
            </w:pPr>
            <w:r w:rsidRPr="00ED5599">
              <w:rPr>
                <w:sz w:val="22"/>
                <w:lang w:eastAsia="uk-UA"/>
              </w:rPr>
              <w:t>5.</w:t>
            </w:r>
          </w:p>
        </w:tc>
        <w:tc>
          <w:tcPr>
            <w:tcW w:w="2835" w:type="dxa"/>
            <w:tcBorders>
              <w:top w:val="nil"/>
              <w:left w:val="single" w:sz="4" w:space="0" w:color="auto"/>
              <w:bottom w:val="single" w:sz="4" w:space="0" w:color="auto"/>
              <w:right w:val="single" w:sz="4" w:space="0" w:color="auto"/>
            </w:tcBorders>
            <w:shd w:val="clear" w:color="auto" w:fill="auto"/>
          </w:tcPr>
          <w:p w14:paraId="1541DF50" w14:textId="0EB0E187" w:rsidR="00ED5599" w:rsidRPr="00ED5599" w:rsidRDefault="00ED5599" w:rsidP="00ED5599">
            <w:pPr>
              <w:pStyle w:val="p10"/>
              <w:spacing w:before="0" w:beforeAutospacing="0" w:after="0" w:afterAutospacing="0"/>
              <w:contextualSpacing/>
              <w:jc w:val="center"/>
              <w:rPr>
                <w:bCs/>
                <w:sz w:val="22"/>
                <w:szCs w:val="22"/>
                <w:lang w:val="uk-UA" w:eastAsia="uk-UA"/>
              </w:rPr>
            </w:pPr>
            <w:r w:rsidRPr="00ED5599">
              <w:rPr>
                <w:sz w:val="22"/>
                <w:szCs w:val="22"/>
                <w:lang w:val="uk-UA"/>
              </w:rPr>
              <w:t>Крупа ячна</w:t>
            </w:r>
          </w:p>
        </w:tc>
        <w:tc>
          <w:tcPr>
            <w:tcW w:w="1418" w:type="dxa"/>
            <w:tcBorders>
              <w:top w:val="single" w:sz="4" w:space="0" w:color="auto"/>
              <w:left w:val="single" w:sz="4" w:space="0" w:color="auto"/>
              <w:bottom w:val="single" w:sz="4" w:space="0" w:color="auto"/>
              <w:right w:val="single" w:sz="4" w:space="0" w:color="auto"/>
            </w:tcBorders>
          </w:tcPr>
          <w:p w14:paraId="1B20B5A4" w14:textId="59D00350"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50E5032F" w14:textId="76828896" w:rsidR="00ED5599" w:rsidRPr="00ED5599" w:rsidRDefault="00ED5599" w:rsidP="00ED5599">
            <w:pPr>
              <w:spacing w:after="0" w:line="240" w:lineRule="auto"/>
              <w:jc w:val="center"/>
              <w:rPr>
                <w:sz w:val="22"/>
                <w:lang w:eastAsia="ru-RU"/>
              </w:rPr>
            </w:pPr>
            <w:r w:rsidRPr="00ED5599">
              <w:rPr>
                <w:sz w:val="22"/>
              </w:rPr>
              <w:t>850</w:t>
            </w:r>
          </w:p>
        </w:tc>
        <w:tc>
          <w:tcPr>
            <w:tcW w:w="1843" w:type="dxa"/>
            <w:tcBorders>
              <w:top w:val="single" w:sz="4" w:space="0" w:color="auto"/>
              <w:left w:val="single" w:sz="4" w:space="0" w:color="auto"/>
              <w:bottom w:val="single" w:sz="4" w:space="0" w:color="auto"/>
              <w:right w:val="single" w:sz="4" w:space="0" w:color="auto"/>
            </w:tcBorders>
            <w:vAlign w:val="center"/>
          </w:tcPr>
          <w:p w14:paraId="7CB7FB29"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92B52F9" w14:textId="77777777" w:rsidR="00ED5599" w:rsidRPr="00ED5599" w:rsidRDefault="00ED5599" w:rsidP="00ED5599">
            <w:pPr>
              <w:spacing w:after="0" w:line="240" w:lineRule="auto"/>
              <w:contextualSpacing/>
              <w:jc w:val="center"/>
              <w:rPr>
                <w:sz w:val="22"/>
              </w:rPr>
            </w:pPr>
          </w:p>
        </w:tc>
      </w:tr>
      <w:tr w:rsidR="00ED5599" w:rsidRPr="00ED5599" w14:paraId="4E20208C"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7B76D524" w14:textId="446F5A77" w:rsidR="00ED5599" w:rsidRPr="00ED5599" w:rsidRDefault="00ED5599" w:rsidP="00ED5599">
            <w:pPr>
              <w:spacing w:after="0" w:line="240" w:lineRule="auto"/>
              <w:contextualSpacing/>
              <w:jc w:val="center"/>
              <w:rPr>
                <w:sz w:val="22"/>
              </w:rPr>
            </w:pPr>
            <w:r w:rsidRPr="00ED5599">
              <w:rPr>
                <w:sz w:val="22"/>
                <w:lang w:eastAsia="uk-UA"/>
              </w:rPr>
              <w:t>6.</w:t>
            </w:r>
          </w:p>
        </w:tc>
        <w:tc>
          <w:tcPr>
            <w:tcW w:w="2835" w:type="dxa"/>
            <w:tcBorders>
              <w:top w:val="nil"/>
              <w:left w:val="single" w:sz="4" w:space="0" w:color="auto"/>
              <w:bottom w:val="single" w:sz="4" w:space="0" w:color="auto"/>
              <w:right w:val="single" w:sz="4" w:space="0" w:color="auto"/>
            </w:tcBorders>
            <w:shd w:val="clear" w:color="auto" w:fill="auto"/>
          </w:tcPr>
          <w:p w14:paraId="18DBB50D" w14:textId="1DFA5930" w:rsidR="00ED5599" w:rsidRPr="00ED5599" w:rsidRDefault="00ED5599" w:rsidP="00ED5599">
            <w:pPr>
              <w:pStyle w:val="p10"/>
              <w:spacing w:before="0" w:beforeAutospacing="0" w:after="0" w:afterAutospacing="0"/>
              <w:contextualSpacing/>
              <w:jc w:val="center"/>
              <w:rPr>
                <w:bCs/>
                <w:sz w:val="22"/>
                <w:szCs w:val="22"/>
                <w:lang w:val="uk-UA" w:eastAsia="uk-UA"/>
              </w:rPr>
            </w:pPr>
            <w:r w:rsidRPr="00ED5599">
              <w:rPr>
                <w:sz w:val="22"/>
                <w:szCs w:val="22"/>
                <w:lang w:val="uk-UA"/>
              </w:rPr>
              <w:t>Крупа пшенична</w:t>
            </w:r>
          </w:p>
        </w:tc>
        <w:tc>
          <w:tcPr>
            <w:tcW w:w="1418" w:type="dxa"/>
            <w:tcBorders>
              <w:top w:val="single" w:sz="4" w:space="0" w:color="auto"/>
              <w:left w:val="single" w:sz="4" w:space="0" w:color="auto"/>
              <w:bottom w:val="single" w:sz="4" w:space="0" w:color="auto"/>
              <w:right w:val="single" w:sz="4" w:space="0" w:color="auto"/>
            </w:tcBorders>
          </w:tcPr>
          <w:p w14:paraId="3FBD67A6" w14:textId="2E3541C1"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603E206C" w14:textId="3FC5D1B9" w:rsidR="00ED5599" w:rsidRPr="00ED5599" w:rsidRDefault="00ED5599" w:rsidP="00ED5599">
            <w:pPr>
              <w:spacing w:after="0" w:line="240" w:lineRule="auto"/>
              <w:jc w:val="center"/>
              <w:rPr>
                <w:sz w:val="22"/>
                <w:lang w:eastAsia="ru-RU"/>
              </w:rPr>
            </w:pPr>
            <w:r w:rsidRPr="00ED5599">
              <w:rPr>
                <w:sz w:val="22"/>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4A6EB643"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1452F8D1" w14:textId="77777777" w:rsidR="00ED5599" w:rsidRPr="00ED5599" w:rsidRDefault="00ED5599" w:rsidP="00ED5599">
            <w:pPr>
              <w:spacing w:after="0" w:line="240" w:lineRule="auto"/>
              <w:contextualSpacing/>
              <w:jc w:val="center"/>
              <w:rPr>
                <w:sz w:val="22"/>
              </w:rPr>
            </w:pPr>
          </w:p>
        </w:tc>
      </w:tr>
      <w:tr w:rsidR="00ED5599" w:rsidRPr="00ED5599" w14:paraId="0CC926DD"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32113FA1" w14:textId="1BE94BFA" w:rsidR="00ED5599" w:rsidRPr="00ED5599" w:rsidRDefault="00ED5599" w:rsidP="00ED5599">
            <w:pPr>
              <w:spacing w:after="0" w:line="240" w:lineRule="auto"/>
              <w:contextualSpacing/>
              <w:jc w:val="center"/>
              <w:rPr>
                <w:sz w:val="22"/>
              </w:rPr>
            </w:pPr>
            <w:r w:rsidRPr="00ED5599">
              <w:rPr>
                <w:sz w:val="22"/>
                <w:lang w:eastAsia="uk-UA"/>
              </w:rPr>
              <w:t>7.</w:t>
            </w:r>
          </w:p>
        </w:tc>
        <w:tc>
          <w:tcPr>
            <w:tcW w:w="2835" w:type="dxa"/>
            <w:tcBorders>
              <w:top w:val="nil"/>
              <w:left w:val="single" w:sz="4" w:space="0" w:color="auto"/>
              <w:bottom w:val="single" w:sz="4" w:space="0" w:color="auto"/>
              <w:right w:val="single" w:sz="4" w:space="0" w:color="auto"/>
            </w:tcBorders>
            <w:shd w:val="clear" w:color="auto" w:fill="auto"/>
          </w:tcPr>
          <w:p w14:paraId="5AC2E4D2" w14:textId="0D4466A0" w:rsidR="00ED5599" w:rsidRPr="00ED5599" w:rsidRDefault="00ED5599" w:rsidP="00ED5599">
            <w:pPr>
              <w:pStyle w:val="p10"/>
              <w:spacing w:before="0" w:beforeAutospacing="0" w:after="0" w:afterAutospacing="0"/>
              <w:contextualSpacing/>
              <w:jc w:val="center"/>
              <w:rPr>
                <w:bCs/>
                <w:sz w:val="22"/>
                <w:szCs w:val="22"/>
                <w:lang w:val="uk-UA" w:eastAsia="uk-UA"/>
              </w:rPr>
            </w:pPr>
            <w:r w:rsidRPr="00ED5599">
              <w:rPr>
                <w:sz w:val="22"/>
                <w:szCs w:val="22"/>
                <w:lang w:val="uk-UA"/>
              </w:rPr>
              <w:t>Крупа кукурудзяна</w:t>
            </w:r>
          </w:p>
        </w:tc>
        <w:tc>
          <w:tcPr>
            <w:tcW w:w="1418" w:type="dxa"/>
            <w:tcBorders>
              <w:top w:val="single" w:sz="4" w:space="0" w:color="auto"/>
              <w:left w:val="single" w:sz="4" w:space="0" w:color="auto"/>
              <w:bottom w:val="single" w:sz="4" w:space="0" w:color="auto"/>
              <w:right w:val="single" w:sz="4" w:space="0" w:color="auto"/>
            </w:tcBorders>
          </w:tcPr>
          <w:p w14:paraId="01D12442" w14:textId="7048D088"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4F68B4E5" w14:textId="057F9E2F" w:rsidR="00ED5599" w:rsidRPr="00ED5599" w:rsidRDefault="00ED5599" w:rsidP="00ED5599">
            <w:pPr>
              <w:spacing w:after="0" w:line="240" w:lineRule="auto"/>
              <w:jc w:val="center"/>
              <w:rPr>
                <w:sz w:val="22"/>
                <w:lang w:eastAsia="ru-RU"/>
              </w:rPr>
            </w:pPr>
            <w:r w:rsidRPr="00ED5599">
              <w:rPr>
                <w:sz w:val="22"/>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7EF08284"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6BCC042D" w14:textId="77777777" w:rsidR="00ED5599" w:rsidRPr="00ED5599" w:rsidRDefault="00ED5599" w:rsidP="00ED5599">
            <w:pPr>
              <w:spacing w:after="0" w:line="240" w:lineRule="auto"/>
              <w:contextualSpacing/>
              <w:jc w:val="center"/>
              <w:rPr>
                <w:sz w:val="22"/>
              </w:rPr>
            </w:pPr>
          </w:p>
        </w:tc>
      </w:tr>
      <w:tr w:rsidR="00ED5599" w:rsidRPr="00ED5599" w14:paraId="16123620"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1BE4B126" w14:textId="27371B90" w:rsidR="00ED5599" w:rsidRPr="00ED5599" w:rsidRDefault="00ED5599" w:rsidP="00ED5599">
            <w:pPr>
              <w:spacing w:after="0" w:line="240" w:lineRule="auto"/>
              <w:contextualSpacing/>
              <w:jc w:val="center"/>
              <w:rPr>
                <w:sz w:val="22"/>
              </w:rPr>
            </w:pPr>
            <w:r w:rsidRPr="00ED5599">
              <w:rPr>
                <w:sz w:val="22"/>
                <w:lang w:eastAsia="uk-UA"/>
              </w:rPr>
              <w:t>8.</w:t>
            </w:r>
          </w:p>
        </w:tc>
        <w:tc>
          <w:tcPr>
            <w:tcW w:w="2835" w:type="dxa"/>
            <w:tcBorders>
              <w:top w:val="nil"/>
              <w:left w:val="single" w:sz="4" w:space="0" w:color="auto"/>
              <w:bottom w:val="single" w:sz="4" w:space="0" w:color="auto"/>
              <w:right w:val="single" w:sz="4" w:space="0" w:color="auto"/>
            </w:tcBorders>
            <w:shd w:val="clear" w:color="auto" w:fill="auto"/>
          </w:tcPr>
          <w:p w14:paraId="2F6CAF82" w14:textId="4A7AA579" w:rsidR="00ED5599" w:rsidRPr="00ED5599" w:rsidRDefault="00ED5599" w:rsidP="00ED5599">
            <w:pPr>
              <w:pStyle w:val="p10"/>
              <w:spacing w:before="0" w:beforeAutospacing="0" w:after="0" w:afterAutospacing="0"/>
              <w:contextualSpacing/>
              <w:jc w:val="center"/>
              <w:rPr>
                <w:bCs/>
                <w:sz w:val="22"/>
                <w:szCs w:val="22"/>
                <w:lang w:val="uk-UA" w:eastAsia="uk-UA"/>
              </w:rPr>
            </w:pPr>
            <w:r w:rsidRPr="00ED5599">
              <w:rPr>
                <w:sz w:val="22"/>
                <w:szCs w:val="22"/>
                <w:lang w:val="uk-UA"/>
              </w:rPr>
              <w:t>Рис оброблений</w:t>
            </w:r>
          </w:p>
        </w:tc>
        <w:tc>
          <w:tcPr>
            <w:tcW w:w="1418" w:type="dxa"/>
            <w:tcBorders>
              <w:top w:val="single" w:sz="4" w:space="0" w:color="auto"/>
              <w:left w:val="single" w:sz="4" w:space="0" w:color="auto"/>
              <w:bottom w:val="single" w:sz="4" w:space="0" w:color="auto"/>
              <w:right w:val="single" w:sz="4" w:space="0" w:color="auto"/>
            </w:tcBorders>
          </w:tcPr>
          <w:p w14:paraId="7795EA9C" w14:textId="2EAE8C96"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4D566173" w14:textId="2BA43783" w:rsidR="00ED5599" w:rsidRPr="00ED5599" w:rsidRDefault="00ED5599" w:rsidP="00ED5599">
            <w:pPr>
              <w:spacing w:after="0" w:line="240" w:lineRule="auto"/>
              <w:jc w:val="center"/>
              <w:rPr>
                <w:sz w:val="22"/>
                <w:lang w:eastAsia="ru-RU"/>
              </w:rPr>
            </w:pPr>
            <w:r w:rsidRPr="00ED5599">
              <w:rPr>
                <w:sz w:val="22"/>
              </w:rPr>
              <w:t>1000</w:t>
            </w:r>
          </w:p>
        </w:tc>
        <w:tc>
          <w:tcPr>
            <w:tcW w:w="1843" w:type="dxa"/>
            <w:tcBorders>
              <w:top w:val="single" w:sz="4" w:space="0" w:color="auto"/>
              <w:left w:val="single" w:sz="4" w:space="0" w:color="auto"/>
              <w:bottom w:val="single" w:sz="4" w:space="0" w:color="auto"/>
              <w:right w:val="single" w:sz="4" w:space="0" w:color="auto"/>
            </w:tcBorders>
            <w:vAlign w:val="center"/>
          </w:tcPr>
          <w:p w14:paraId="05E55F82"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4B8DB2D3" w14:textId="77777777" w:rsidR="00ED5599" w:rsidRPr="00ED5599" w:rsidRDefault="00ED5599" w:rsidP="00ED5599">
            <w:pPr>
              <w:spacing w:after="0" w:line="240" w:lineRule="auto"/>
              <w:contextualSpacing/>
              <w:jc w:val="center"/>
              <w:rPr>
                <w:sz w:val="22"/>
              </w:rPr>
            </w:pPr>
          </w:p>
        </w:tc>
      </w:tr>
      <w:tr w:rsidR="00ED5599" w:rsidRPr="00ED5599" w14:paraId="011CDD99" w14:textId="77777777" w:rsidTr="00C93358">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53B32B90" w14:textId="650C15E0" w:rsidR="00ED5599" w:rsidRPr="00ED5599" w:rsidRDefault="00ED5599" w:rsidP="00ED5599">
            <w:pPr>
              <w:spacing w:after="0" w:line="240" w:lineRule="auto"/>
              <w:contextualSpacing/>
              <w:jc w:val="center"/>
              <w:rPr>
                <w:sz w:val="22"/>
              </w:rPr>
            </w:pPr>
            <w:r w:rsidRPr="00ED5599">
              <w:rPr>
                <w:sz w:val="22"/>
                <w:lang w:eastAsia="uk-UA"/>
              </w:rPr>
              <w:t>9.</w:t>
            </w:r>
          </w:p>
        </w:tc>
        <w:tc>
          <w:tcPr>
            <w:tcW w:w="2835" w:type="dxa"/>
            <w:tcBorders>
              <w:top w:val="nil"/>
              <w:left w:val="single" w:sz="4" w:space="0" w:color="auto"/>
              <w:bottom w:val="single" w:sz="4" w:space="0" w:color="auto"/>
              <w:right w:val="single" w:sz="4" w:space="0" w:color="auto"/>
            </w:tcBorders>
            <w:shd w:val="clear" w:color="auto" w:fill="auto"/>
          </w:tcPr>
          <w:p w14:paraId="1B9B0729" w14:textId="501DFDFF" w:rsidR="00ED5599" w:rsidRPr="00ED5599" w:rsidRDefault="00ED5599" w:rsidP="00ED5599">
            <w:pPr>
              <w:pStyle w:val="p10"/>
              <w:spacing w:before="0" w:beforeAutospacing="0" w:after="0" w:afterAutospacing="0"/>
              <w:contextualSpacing/>
              <w:jc w:val="center"/>
              <w:rPr>
                <w:bCs/>
                <w:sz w:val="22"/>
                <w:szCs w:val="22"/>
                <w:lang w:val="uk-UA" w:eastAsia="uk-UA"/>
              </w:rPr>
            </w:pPr>
            <w:r w:rsidRPr="00ED5599">
              <w:rPr>
                <w:sz w:val="22"/>
                <w:szCs w:val="22"/>
                <w:lang w:val="uk-UA"/>
              </w:rPr>
              <w:t>Борошно пшеничне в/г</w:t>
            </w:r>
          </w:p>
        </w:tc>
        <w:tc>
          <w:tcPr>
            <w:tcW w:w="1418" w:type="dxa"/>
            <w:tcBorders>
              <w:top w:val="single" w:sz="4" w:space="0" w:color="auto"/>
              <w:left w:val="single" w:sz="4" w:space="0" w:color="auto"/>
              <w:bottom w:val="single" w:sz="4" w:space="0" w:color="auto"/>
              <w:right w:val="single" w:sz="4" w:space="0" w:color="auto"/>
            </w:tcBorders>
          </w:tcPr>
          <w:p w14:paraId="256E6D30" w14:textId="60C4FEF4" w:rsidR="00ED5599" w:rsidRPr="00ED5599" w:rsidRDefault="00ED5599" w:rsidP="00ED5599">
            <w:pPr>
              <w:spacing w:after="0" w:line="240" w:lineRule="auto"/>
              <w:jc w:val="center"/>
              <w:rPr>
                <w:sz w:val="22"/>
                <w:lang w:eastAsia="ru-RU"/>
              </w:rPr>
            </w:pPr>
            <w:r w:rsidRPr="00ED5599">
              <w:rPr>
                <w:sz w:val="22"/>
              </w:rPr>
              <w:t>кг</w:t>
            </w:r>
          </w:p>
        </w:tc>
        <w:tc>
          <w:tcPr>
            <w:tcW w:w="1134" w:type="dxa"/>
            <w:tcBorders>
              <w:top w:val="single" w:sz="4" w:space="0" w:color="auto"/>
              <w:left w:val="single" w:sz="4" w:space="0" w:color="auto"/>
              <w:bottom w:val="single" w:sz="4" w:space="0" w:color="auto"/>
              <w:right w:val="single" w:sz="4" w:space="0" w:color="auto"/>
            </w:tcBorders>
          </w:tcPr>
          <w:p w14:paraId="185F943F" w14:textId="41D74420" w:rsidR="00ED5599" w:rsidRPr="00ED5599" w:rsidRDefault="00ED5599" w:rsidP="00ED5599">
            <w:pPr>
              <w:spacing w:after="0" w:line="240" w:lineRule="auto"/>
              <w:jc w:val="center"/>
              <w:rPr>
                <w:sz w:val="22"/>
                <w:lang w:eastAsia="ru-RU"/>
              </w:rPr>
            </w:pPr>
            <w:r w:rsidRPr="00ED5599">
              <w:rPr>
                <w:sz w:val="22"/>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25C6E524" w14:textId="77777777" w:rsidR="00ED5599" w:rsidRPr="00ED5599" w:rsidRDefault="00ED5599" w:rsidP="00ED5599">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5A516F04" w14:textId="77777777" w:rsidR="00ED5599" w:rsidRPr="00ED5599" w:rsidRDefault="00ED5599" w:rsidP="00ED5599">
            <w:pPr>
              <w:spacing w:after="0" w:line="240" w:lineRule="auto"/>
              <w:contextualSpacing/>
              <w:jc w:val="center"/>
              <w:rPr>
                <w:sz w:val="22"/>
              </w:rPr>
            </w:pPr>
          </w:p>
        </w:tc>
      </w:tr>
      <w:tr w:rsidR="009A54D6" w:rsidRPr="00ED5599"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ED5599" w:rsidRDefault="009A54D6" w:rsidP="00464F33">
            <w:pPr>
              <w:spacing w:after="0" w:line="240" w:lineRule="auto"/>
              <w:contextualSpacing/>
              <w:jc w:val="right"/>
              <w:rPr>
                <w:b/>
                <w:sz w:val="22"/>
              </w:rPr>
            </w:pPr>
            <w:r w:rsidRPr="00ED5599">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ED5599" w:rsidRDefault="009A54D6" w:rsidP="00464F33">
            <w:pPr>
              <w:spacing w:after="0" w:line="240" w:lineRule="auto"/>
              <w:contextualSpacing/>
              <w:jc w:val="center"/>
              <w:rPr>
                <w:b/>
                <w:sz w:val="22"/>
              </w:rPr>
            </w:pPr>
          </w:p>
        </w:tc>
      </w:tr>
      <w:tr w:rsidR="009A54D6" w:rsidRPr="00ED5599"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ED5599" w:rsidRDefault="00A76E77" w:rsidP="00464F33">
            <w:pPr>
              <w:spacing w:after="0" w:line="240" w:lineRule="auto"/>
              <w:contextualSpacing/>
              <w:jc w:val="right"/>
              <w:rPr>
                <w:b/>
                <w:sz w:val="22"/>
              </w:rPr>
            </w:pPr>
            <w:r w:rsidRPr="00ED5599">
              <w:rPr>
                <w:b/>
                <w:sz w:val="22"/>
              </w:rPr>
              <w:t>У</w:t>
            </w:r>
            <w:r w:rsidR="009A54D6" w:rsidRPr="00ED5599">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ED5599"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7DA16F24" w14:textId="42D4F84E" w:rsidR="008C3171" w:rsidRPr="00D01BF7"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 xml:space="preserve">2042-VIII «Про державний контроль за дотриманням законодавства про харчові продукти, корми, </w:t>
      </w:r>
      <w:r w:rsidR="00E10B1F" w:rsidRPr="00240F6E">
        <w:rPr>
          <w:sz w:val="22"/>
        </w:rPr>
        <w:t>побічні продукти тваринного походження, здо</w:t>
      </w:r>
      <w:r w:rsidR="00B65987" w:rsidRPr="00240F6E">
        <w:rPr>
          <w:sz w:val="22"/>
        </w:rPr>
        <w:t xml:space="preserve">ров'я та благополуччя тварин», </w:t>
      </w:r>
      <w:r w:rsidR="00E10B1F" w:rsidRPr="00240F6E">
        <w:rPr>
          <w:sz w:val="22"/>
        </w:rPr>
        <w:t xml:space="preserve">Закону України </w:t>
      </w:r>
      <w:r w:rsidR="00A76E77" w:rsidRPr="00240F6E">
        <w:rPr>
          <w:sz w:val="22"/>
        </w:rPr>
        <w:t xml:space="preserve">від </w:t>
      </w:r>
      <w:r w:rsidR="00A76E77" w:rsidRPr="00240F6E">
        <w:rPr>
          <w:sz w:val="22"/>
        </w:rPr>
        <w:lastRenderedPageBreak/>
        <w:t>06.</w:t>
      </w:r>
      <w:r w:rsidR="00A76E77" w:rsidRPr="00D01BF7">
        <w:rPr>
          <w:sz w:val="22"/>
        </w:rPr>
        <w:t xml:space="preserve">12.2018 </w:t>
      </w:r>
      <w:r w:rsidR="00E10B1F" w:rsidRPr="00D01BF7">
        <w:rPr>
          <w:sz w:val="22"/>
        </w:rPr>
        <w:t>№</w:t>
      </w:r>
      <w:r w:rsidR="00A76E77" w:rsidRPr="00D01BF7">
        <w:rPr>
          <w:sz w:val="22"/>
        </w:rPr>
        <w:t xml:space="preserve"> </w:t>
      </w:r>
      <w:r w:rsidR="00E10B1F" w:rsidRPr="00D01BF7">
        <w:rPr>
          <w:sz w:val="22"/>
        </w:rPr>
        <w:t xml:space="preserve">2639-VIII «Про інформацію для споживачів щодо харчових продуктів» </w:t>
      </w:r>
      <w:r w:rsidR="00B33C76" w:rsidRPr="00D01BF7">
        <w:rPr>
          <w:sz w:val="22"/>
        </w:rPr>
        <w:t xml:space="preserve">та </w:t>
      </w:r>
      <w:r w:rsidRPr="00D01BF7">
        <w:rPr>
          <w:sz w:val="22"/>
        </w:rPr>
        <w:t>іншим вимогам, встановленим державними стандартами, технічними умовами, нормативно-технічними документами</w:t>
      </w:r>
      <w:r w:rsidR="006E0DD3" w:rsidRPr="00D01BF7">
        <w:rPr>
          <w:sz w:val="22"/>
        </w:rPr>
        <w:t xml:space="preserve">. </w:t>
      </w:r>
    </w:p>
    <w:p w14:paraId="1CD4D726" w14:textId="05B4A16C" w:rsidR="00D02EBD" w:rsidRPr="00D01BF7" w:rsidRDefault="00D02EBD" w:rsidP="00D02EBD">
      <w:pPr>
        <w:spacing w:after="0" w:line="240" w:lineRule="auto"/>
        <w:jc w:val="both"/>
        <w:rPr>
          <w:b/>
          <w:bCs/>
          <w:sz w:val="22"/>
        </w:rPr>
      </w:pPr>
      <w:r w:rsidRPr="00D01BF7">
        <w:rPr>
          <w:b/>
          <w:bCs/>
          <w:sz w:val="22"/>
        </w:rPr>
        <w:t>2.2. Характеристика товару:</w:t>
      </w:r>
    </w:p>
    <w:p w14:paraId="6D40A281" w14:textId="0C47204F" w:rsidR="00D01BF7" w:rsidRPr="00D01BF7" w:rsidRDefault="00D02EBD" w:rsidP="00D01BF7">
      <w:pPr>
        <w:spacing w:after="0" w:line="240" w:lineRule="auto"/>
        <w:jc w:val="both"/>
        <w:rPr>
          <w:sz w:val="22"/>
        </w:rPr>
      </w:pPr>
      <w:r w:rsidRPr="00D01BF7">
        <w:rPr>
          <w:sz w:val="22"/>
        </w:rPr>
        <w:t xml:space="preserve">1) </w:t>
      </w:r>
      <w:r w:rsidR="00D01BF7" w:rsidRPr="00D01BF7">
        <w:rPr>
          <w:sz w:val="22"/>
        </w:rPr>
        <w:t xml:space="preserve">Вівсяні пластівці </w:t>
      </w:r>
      <w:r w:rsidR="007E5B77">
        <w:rPr>
          <w:sz w:val="22"/>
        </w:rPr>
        <w:t>–</w:t>
      </w:r>
      <w:r w:rsidR="00D01BF7" w:rsidRPr="00D01BF7">
        <w:rPr>
          <w:sz w:val="22"/>
        </w:rPr>
        <w:t xml:space="preserve"> </w:t>
      </w:r>
      <w:r w:rsidR="007E5B77">
        <w:rPr>
          <w:sz w:val="22"/>
        </w:rPr>
        <w:t xml:space="preserve">крупа </w:t>
      </w:r>
      <w:bookmarkStart w:id="0" w:name="_GoBack"/>
      <w:bookmarkEnd w:id="0"/>
      <w:r w:rsidR="00D01BF7" w:rsidRPr="00D01BF7">
        <w:rPr>
          <w:sz w:val="22"/>
        </w:rPr>
        <w:t>повинна мати білий з відтінками від кремового до жовтуватого кольору.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sidR="00D01BF7">
        <w:rPr>
          <w:sz w:val="22"/>
        </w:rPr>
        <w:t>;</w:t>
      </w:r>
    </w:p>
    <w:p w14:paraId="63A71716" w14:textId="0DA72741" w:rsidR="00D01BF7" w:rsidRPr="00D01BF7" w:rsidRDefault="00D01BF7" w:rsidP="00D01BF7">
      <w:pPr>
        <w:spacing w:after="0" w:line="240" w:lineRule="auto"/>
        <w:jc w:val="both"/>
        <w:rPr>
          <w:sz w:val="22"/>
        </w:rPr>
      </w:pPr>
      <w:r>
        <w:rPr>
          <w:sz w:val="22"/>
        </w:rPr>
        <w:t xml:space="preserve">2) </w:t>
      </w:r>
      <w:r w:rsidRPr="00D01BF7">
        <w:rPr>
          <w:sz w:val="22"/>
        </w:rPr>
        <w:t>Крупа гречана</w:t>
      </w:r>
      <w:r>
        <w:rPr>
          <w:sz w:val="22"/>
        </w:rPr>
        <w:t xml:space="preserve"> - </w:t>
      </w:r>
      <w:r w:rsidRPr="00D01BF7">
        <w:rPr>
          <w:sz w:val="22"/>
        </w:rPr>
        <w:t>повинна мати світло коричневий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Pr>
          <w:sz w:val="22"/>
        </w:rPr>
        <w:t>;</w:t>
      </w:r>
    </w:p>
    <w:p w14:paraId="1C2D9A4F" w14:textId="23463BB7" w:rsidR="00D01BF7" w:rsidRPr="00D01BF7" w:rsidRDefault="00D01BF7" w:rsidP="00D01BF7">
      <w:pPr>
        <w:spacing w:after="0" w:line="240" w:lineRule="auto"/>
        <w:jc w:val="both"/>
        <w:rPr>
          <w:sz w:val="22"/>
        </w:rPr>
      </w:pPr>
      <w:r>
        <w:rPr>
          <w:sz w:val="22"/>
        </w:rPr>
        <w:t xml:space="preserve">3) </w:t>
      </w:r>
      <w:r w:rsidRPr="00D01BF7">
        <w:rPr>
          <w:sz w:val="22"/>
        </w:rPr>
        <w:t>Крупа перлова</w:t>
      </w:r>
      <w:r>
        <w:rPr>
          <w:sz w:val="22"/>
        </w:rPr>
        <w:t xml:space="preserve"> - </w:t>
      </w:r>
      <w:r w:rsidRPr="00D01BF7">
        <w:rPr>
          <w:sz w:val="22"/>
        </w:rPr>
        <w:t>повинна мати білий з жовтуватим відтінком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Pr>
          <w:sz w:val="22"/>
        </w:rPr>
        <w:t>;</w:t>
      </w:r>
    </w:p>
    <w:p w14:paraId="1C859115" w14:textId="5DD05AE5" w:rsidR="00D01BF7" w:rsidRPr="00D01BF7" w:rsidRDefault="00D01BF7" w:rsidP="00D01BF7">
      <w:pPr>
        <w:spacing w:after="0" w:line="240" w:lineRule="auto"/>
        <w:jc w:val="both"/>
        <w:rPr>
          <w:sz w:val="22"/>
        </w:rPr>
      </w:pPr>
      <w:r>
        <w:rPr>
          <w:sz w:val="22"/>
        </w:rPr>
        <w:t xml:space="preserve">4) </w:t>
      </w:r>
      <w:r w:rsidRPr="00D01BF7">
        <w:rPr>
          <w:sz w:val="22"/>
        </w:rPr>
        <w:t>Крупа пшона</w:t>
      </w:r>
      <w:r>
        <w:rPr>
          <w:sz w:val="22"/>
        </w:rPr>
        <w:t xml:space="preserve"> -</w:t>
      </w:r>
      <w:r w:rsidRPr="00D01BF7">
        <w:rPr>
          <w:sz w:val="22"/>
        </w:rPr>
        <w:t xml:space="preserve"> повинна мати жовтий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Pr>
          <w:sz w:val="22"/>
        </w:rPr>
        <w:t>;</w:t>
      </w:r>
    </w:p>
    <w:p w14:paraId="4B1B97F0" w14:textId="78B09993" w:rsidR="00D01BF7" w:rsidRPr="00D01BF7" w:rsidRDefault="00D01BF7" w:rsidP="00D01BF7">
      <w:pPr>
        <w:spacing w:after="0" w:line="240" w:lineRule="auto"/>
        <w:jc w:val="both"/>
        <w:rPr>
          <w:sz w:val="22"/>
        </w:rPr>
      </w:pPr>
      <w:r>
        <w:rPr>
          <w:sz w:val="22"/>
        </w:rPr>
        <w:t xml:space="preserve">5) </w:t>
      </w:r>
      <w:r w:rsidRPr="00D01BF7">
        <w:rPr>
          <w:sz w:val="22"/>
        </w:rPr>
        <w:t>Крупа ячна</w:t>
      </w:r>
      <w:r>
        <w:rPr>
          <w:sz w:val="22"/>
        </w:rPr>
        <w:t xml:space="preserve"> -</w:t>
      </w:r>
      <w:r w:rsidRPr="00D01BF7">
        <w:rPr>
          <w:sz w:val="22"/>
        </w:rPr>
        <w:t xml:space="preserve"> має бути дроблена і шліфована, кольорів від білого до світло-кремового різних відтінків.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Pr>
          <w:sz w:val="22"/>
        </w:rPr>
        <w:t>;</w:t>
      </w:r>
    </w:p>
    <w:p w14:paraId="7CA0ACB3" w14:textId="491C2214" w:rsidR="00D01BF7" w:rsidRPr="00D01BF7" w:rsidRDefault="00D01BF7" w:rsidP="00D01BF7">
      <w:pPr>
        <w:spacing w:after="0" w:line="240" w:lineRule="auto"/>
        <w:jc w:val="both"/>
        <w:rPr>
          <w:sz w:val="22"/>
        </w:rPr>
      </w:pPr>
      <w:r>
        <w:rPr>
          <w:sz w:val="22"/>
        </w:rPr>
        <w:t xml:space="preserve">6) </w:t>
      </w:r>
      <w:r w:rsidRPr="00D01BF7">
        <w:rPr>
          <w:sz w:val="22"/>
        </w:rPr>
        <w:t>Крупа пшенична</w:t>
      </w:r>
      <w:r>
        <w:rPr>
          <w:sz w:val="22"/>
        </w:rPr>
        <w:t xml:space="preserve"> -</w:t>
      </w:r>
      <w:r w:rsidRPr="00D01BF7">
        <w:rPr>
          <w:sz w:val="22"/>
        </w:rPr>
        <w:t xml:space="preserve"> повинна мати жовтий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Pr>
          <w:sz w:val="22"/>
        </w:rPr>
        <w:t>;</w:t>
      </w:r>
    </w:p>
    <w:p w14:paraId="3B0E390D" w14:textId="0C37F5BA" w:rsidR="00D01BF7" w:rsidRPr="00D01BF7" w:rsidRDefault="00D01BF7" w:rsidP="00D01BF7">
      <w:pPr>
        <w:spacing w:after="0" w:line="240" w:lineRule="auto"/>
        <w:jc w:val="both"/>
        <w:rPr>
          <w:sz w:val="22"/>
        </w:rPr>
      </w:pPr>
      <w:r>
        <w:rPr>
          <w:sz w:val="22"/>
        </w:rPr>
        <w:t xml:space="preserve">7) </w:t>
      </w:r>
      <w:r w:rsidRPr="00D01BF7">
        <w:rPr>
          <w:sz w:val="22"/>
        </w:rPr>
        <w:t>Крупа кукурудзяна</w:t>
      </w:r>
      <w:r w:rsidRPr="00D01BF7">
        <w:rPr>
          <w:sz w:val="22"/>
        </w:rPr>
        <w:tab/>
      </w:r>
      <w:r>
        <w:rPr>
          <w:sz w:val="22"/>
        </w:rPr>
        <w:t>-</w:t>
      </w:r>
      <w:r w:rsidRPr="00D01BF7">
        <w:rPr>
          <w:sz w:val="22"/>
        </w:rPr>
        <w:t xml:space="preserve"> повинна мати жовтий колір. Смак повинен бути властивим нормальній крупі, не кислий, не гіркий і без побічних присмаків. Мати властивий доброякісній крупі запах. Вологість повинна не перевищувати 10%. Крупа повинна бути без ознак зволоження, плісняви, злежування, прокисання, згірклості та втрати сипучості, не потемніла і не знебарвлена. Без ГМО. Має відповідати державному стандарту України. Фасування у поліпропіленові пакети, вагою до 1 кг.</w:t>
      </w:r>
      <w:r>
        <w:rPr>
          <w:sz w:val="22"/>
        </w:rPr>
        <w:t>;</w:t>
      </w:r>
    </w:p>
    <w:p w14:paraId="2BAF8276" w14:textId="0241BF05" w:rsidR="00D01BF7" w:rsidRPr="00D01BF7" w:rsidRDefault="00D01BF7" w:rsidP="00D01BF7">
      <w:pPr>
        <w:spacing w:after="0" w:line="240" w:lineRule="auto"/>
        <w:jc w:val="both"/>
        <w:rPr>
          <w:sz w:val="22"/>
        </w:rPr>
      </w:pPr>
      <w:r>
        <w:rPr>
          <w:sz w:val="22"/>
        </w:rPr>
        <w:t xml:space="preserve">8) </w:t>
      </w:r>
      <w:r w:rsidRPr="00D01BF7">
        <w:rPr>
          <w:sz w:val="22"/>
        </w:rPr>
        <w:t>Рис оброблений</w:t>
      </w:r>
      <w:r>
        <w:rPr>
          <w:sz w:val="22"/>
        </w:rPr>
        <w:t xml:space="preserve"> -</w:t>
      </w:r>
      <w:r w:rsidRPr="00D01BF7">
        <w:rPr>
          <w:sz w:val="22"/>
        </w:rPr>
        <w:t xml:space="preserve"> </w:t>
      </w:r>
      <w:r w:rsidR="00A86C93" w:rsidRPr="00A86C93">
        <w:rPr>
          <w:sz w:val="22"/>
        </w:rPr>
        <w:t xml:space="preserve">повинен бути </w:t>
      </w:r>
      <w:proofErr w:type="spellStart"/>
      <w:r w:rsidR="00A86C93" w:rsidRPr="00A86C93">
        <w:rPr>
          <w:sz w:val="22"/>
        </w:rPr>
        <w:t>круглозернистий</w:t>
      </w:r>
      <w:proofErr w:type="spellEnd"/>
      <w:r w:rsidR="00A86C93" w:rsidRPr="00A86C93">
        <w:rPr>
          <w:sz w:val="22"/>
        </w:rPr>
        <w:t xml:space="preserve"> або </w:t>
      </w:r>
      <w:proofErr w:type="spellStart"/>
      <w:r w:rsidR="00A86C93" w:rsidRPr="00A86C93">
        <w:rPr>
          <w:sz w:val="22"/>
        </w:rPr>
        <w:t>довгозернистий</w:t>
      </w:r>
      <w:proofErr w:type="spellEnd"/>
      <w:r w:rsidR="00A86C93">
        <w:rPr>
          <w:sz w:val="22"/>
        </w:rPr>
        <w:t xml:space="preserve">, </w:t>
      </w:r>
      <w:r w:rsidRPr="00D01BF7">
        <w:rPr>
          <w:sz w:val="22"/>
        </w:rPr>
        <w:t>білого кольору, сухий, запах властивий рисовій крупі без сторонніх запахів, не затхлий, без плісняви. Не заражений шкідниками. Вологість повинна не перевищувати 10%. Без ГМО. Має відповідати державному стандарту України. Фасування у поліпропіленові пакети, вагою до 1 кг.</w:t>
      </w:r>
      <w:r>
        <w:rPr>
          <w:sz w:val="22"/>
        </w:rPr>
        <w:t>;</w:t>
      </w:r>
    </w:p>
    <w:p w14:paraId="42DF1464" w14:textId="77777777" w:rsidR="00D01BF7" w:rsidRDefault="00D01BF7" w:rsidP="00D01BF7">
      <w:pPr>
        <w:spacing w:after="0" w:line="240" w:lineRule="auto"/>
        <w:jc w:val="both"/>
        <w:rPr>
          <w:sz w:val="22"/>
        </w:rPr>
      </w:pPr>
      <w:r>
        <w:rPr>
          <w:sz w:val="22"/>
        </w:rPr>
        <w:t xml:space="preserve">9) </w:t>
      </w:r>
      <w:r w:rsidRPr="00D01BF7">
        <w:rPr>
          <w:sz w:val="22"/>
        </w:rPr>
        <w:t>Борошно пшеничне в/г</w:t>
      </w:r>
      <w:r>
        <w:rPr>
          <w:sz w:val="22"/>
        </w:rPr>
        <w:t xml:space="preserve"> - </w:t>
      </w:r>
      <w:r w:rsidRPr="00D01BF7">
        <w:rPr>
          <w:sz w:val="22"/>
        </w:rPr>
        <w:t>вищого гатунку, повинно мати білий з кремовим відтінком колір, запах - властивий пшеничному борошну, без сторонніх запахів, не затхлий, не пліснявий, без сторонніх домішок. Борошно повинно бути без уражень шкідниками. Без ГМО. Має відповідати державному стандарту України. Фасування у паперові пакети, вагою до 2 кг та/або поліпропіленові мішки, вагою до 25 кг.</w:t>
      </w:r>
    </w:p>
    <w:p w14:paraId="4EF7B45E" w14:textId="031E0D6F" w:rsidR="00955DED" w:rsidRDefault="001B60BF" w:rsidP="00D01BF7">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w:t>
      </w:r>
      <w:r w:rsidRPr="009B3FC7">
        <w:rPr>
          <w:sz w:val="22"/>
        </w:rPr>
        <w:lastRenderedPageBreak/>
        <w:t xml:space="preserve">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32F60B48" w14:textId="77777777" w:rsidR="00D01BF7" w:rsidRPr="00192F15" w:rsidRDefault="00D01BF7" w:rsidP="00D01BF7">
      <w:pPr>
        <w:spacing w:after="0" w:line="240" w:lineRule="auto"/>
        <w:jc w:val="both"/>
        <w:rPr>
          <w:sz w:val="22"/>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241B863A" w:rsidR="00955DED" w:rsidRDefault="00955DED" w:rsidP="00955DED">
      <w:pPr>
        <w:spacing w:after="0" w:line="240" w:lineRule="auto"/>
        <w:jc w:val="center"/>
        <w:rPr>
          <w:b/>
          <w:bCs/>
          <w:sz w:val="22"/>
        </w:rPr>
      </w:pPr>
    </w:p>
    <w:p w14:paraId="4EF92AF9" w14:textId="77777777" w:rsidR="00D01BF7" w:rsidRPr="009B3FC7" w:rsidRDefault="00D01BF7"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lastRenderedPageBreak/>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w:t>
      </w:r>
      <w:r w:rsidRPr="008E6ECE">
        <w:rPr>
          <w:bCs/>
          <w:sz w:val="22"/>
          <w:lang w:eastAsia="x-none"/>
        </w:rPr>
        <w:lastRenderedPageBreak/>
        <w:t>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2A294B3E" w14:textId="47F26C5F" w:rsidR="00001B82"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lastRenderedPageBreak/>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7DF3028B" w14:textId="7F46AC83"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3F6EA380" w14:textId="77777777" w:rsidR="00240F6E" w:rsidRDefault="00240F6E" w:rsidP="008E6ECE">
      <w:pPr>
        <w:widowControl w:val="0"/>
        <w:tabs>
          <w:tab w:val="left" w:pos="3798"/>
        </w:tabs>
        <w:spacing w:after="0" w:line="240" w:lineRule="auto"/>
        <w:jc w:val="center"/>
        <w:rPr>
          <w:b/>
          <w:bCs/>
          <w:sz w:val="22"/>
          <w:lang w:eastAsia="x-none"/>
        </w:rPr>
      </w:pPr>
    </w:p>
    <w:p w14:paraId="6EB59883" w14:textId="492F8784"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129E2B8C" w14:textId="0E5489BB" w:rsidR="008C3171"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5C347125" w14:textId="77777777" w:rsidR="00192F15" w:rsidRPr="008E6ECE" w:rsidRDefault="00192F15"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Pr="008E6ECE">
        <w:rPr>
          <w:bCs/>
          <w:sz w:val="22"/>
          <w:lang w:eastAsia="x-none"/>
        </w:rPr>
        <w:lastRenderedPageBreak/>
        <w:t>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8750949" w14:textId="2D4E3091" w:rsidR="00D01BF7" w:rsidRPr="008C3171" w:rsidRDefault="008E6ECE" w:rsidP="008C3171">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54998C8" w14:textId="77777777" w:rsidR="00D01BF7" w:rsidRDefault="00D01BF7" w:rsidP="00B33C76">
      <w:pPr>
        <w:keepNext/>
        <w:spacing w:after="0" w:line="240" w:lineRule="auto"/>
        <w:jc w:val="center"/>
        <w:outlineLvl w:val="2"/>
        <w:rPr>
          <w:b/>
          <w:bCs/>
          <w:sz w:val="22"/>
          <w:lang w:eastAsia="ru-RU"/>
        </w:rPr>
      </w:pPr>
    </w:p>
    <w:p w14:paraId="426CBEB4" w14:textId="64C644C8"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D01BF7">
        <w:trPr>
          <w:trHeight w:val="4820"/>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63AACC3F" w14:textId="3CF2241D" w:rsidR="00C5591D" w:rsidRPr="009B3FC7" w:rsidRDefault="00C5591D" w:rsidP="00D01BF7">
            <w:pPr>
              <w:spacing w:after="0" w:line="240" w:lineRule="auto"/>
              <w:rPr>
                <w:sz w:val="22"/>
                <w:lang w:eastAsia="ar-SA"/>
              </w:rPr>
            </w:pPr>
            <w:r w:rsidRPr="009B3FC7">
              <w:rPr>
                <w:sz w:val="22"/>
                <w:lang w:eastAsia="ar-SA"/>
              </w:rPr>
              <w:t>М.П.</w:t>
            </w: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7E5B77">
                  <w:pPr>
                    <w:framePr w:hSpace="180" w:wrap="around" w:vAnchor="text" w:hAnchor="margin" w:y="119"/>
                    <w:tabs>
                      <w:tab w:val="left" w:pos="708"/>
                      <w:tab w:val="center" w:pos="4153"/>
                      <w:tab w:val="right" w:pos="8306"/>
                    </w:tabs>
                    <w:spacing w:after="0" w:line="240" w:lineRule="auto"/>
                    <w:rPr>
                      <w:sz w:val="22"/>
                      <w:lang w:eastAsia="ru-RU"/>
                    </w:rPr>
                  </w:pPr>
                </w:p>
              </w:tc>
            </w:tr>
          </w:tbl>
          <w:p w14:paraId="0D959AA7" w14:textId="77777777" w:rsidR="00192F15" w:rsidRDefault="00192F15" w:rsidP="00044644">
            <w:pPr>
              <w:spacing w:after="0" w:line="240" w:lineRule="auto"/>
              <w:rPr>
                <w:sz w:val="22"/>
              </w:rPr>
            </w:pPr>
          </w:p>
          <w:p w14:paraId="15CCCAA2" w14:textId="77777777" w:rsidR="00192F15" w:rsidRDefault="00192F15" w:rsidP="00044644">
            <w:pPr>
              <w:spacing w:after="0" w:line="240" w:lineRule="auto"/>
              <w:rPr>
                <w:sz w:val="22"/>
              </w:rPr>
            </w:pPr>
          </w:p>
          <w:p w14:paraId="79519708" w14:textId="77777777" w:rsidR="00192F15" w:rsidRDefault="00192F15" w:rsidP="00044644">
            <w:pPr>
              <w:spacing w:after="0" w:line="240" w:lineRule="auto"/>
              <w:rPr>
                <w:sz w:val="22"/>
              </w:rPr>
            </w:pPr>
          </w:p>
          <w:p w14:paraId="2D9BC4DB" w14:textId="77777777" w:rsidR="00192F15" w:rsidRDefault="00192F15" w:rsidP="00044644">
            <w:pPr>
              <w:spacing w:after="0" w:line="240" w:lineRule="auto"/>
              <w:rPr>
                <w:sz w:val="22"/>
              </w:rPr>
            </w:pPr>
          </w:p>
          <w:p w14:paraId="4C21C8B8" w14:textId="77777777" w:rsidR="00192F15" w:rsidRDefault="00192F15" w:rsidP="00044644">
            <w:pPr>
              <w:spacing w:after="0" w:line="240" w:lineRule="auto"/>
              <w:rPr>
                <w:sz w:val="22"/>
              </w:rPr>
            </w:pPr>
          </w:p>
          <w:p w14:paraId="68BBA75B" w14:textId="77777777" w:rsidR="00192F15" w:rsidRDefault="00192F15" w:rsidP="00044644">
            <w:pPr>
              <w:spacing w:after="0" w:line="240" w:lineRule="auto"/>
              <w:rPr>
                <w:sz w:val="22"/>
              </w:rPr>
            </w:pPr>
          </w:p>
          <w:p w14:paraId="43587763" w14:textId="77777777" w:rsidR="00192F15" w:rsidRDefault="00192F15" w:rsidP="00044644">
            <w:pPr>
              <w:spacing w:after="0" w:line="240" w:lineRule="auto"/>
              <w:rPr>
                <w:sz w:val="22"/>
              </w:rPr>
            </w:pPr>
          </w:p>
          <w:p w14:paraId="09B5A751" w14:textId="77777777" w:rsidR="00192F15" w:rsidRDefault="00192F15" w:rsidP="00044644">
            <w:pPr>
              <w:spacing w:after="0" w:line="240" w:lineRule="auto"/>
              <w:rPr>
                <w:sz w:val="22"/>
              </w:rPr>
            </w:pPr>
          </w:p>
          <w:p w14:paraId="77771180" w14:textId="77777777" w:rsidR="00192F15" w:rsidRDefault="00192F15" w:rsidP="00044644">
            <w:pPr>
              <w:spacing w:after="0" w:line="240" w:lineRule="auto"/>
              <w:rPr>
                <w:sz w:val="22"/>
              </w:rPr>
            </w:pPr>
          </w:p>
          <w:p w14:paraId="201D557C" w14:textId="77777777" w:rsidR="00192F15" w:rsidRDefault="00192F15" w:rsidP="00044644">
            <w:pPr>
              <w:spacing w:after="0" w:line="240" w:lineRule="auto"/>
              <w:rPr>
                <w:sz w:val="22"/>
              </w:rPr>
            </w:pPr>
          </w:p>
          <w:p w14:paraId="65B4574E" w14:textId="77777777" w:rsidR="00192F15" w:rsidRDefault="00192F15" w:rsidP="00044644">
            <w:pPr>
              <w:spacing w:after="0" w:line="240" w:lineRule="auto"/>
              <w:rPr>
                <w:sz w:val="22"/>
              </w:rPr>
            </w:pPr>
          </w:p>
          <w:p w14:paraId="013E4AA6" w14:textId="77777777" w:rsidR="00192F15" w:rsidRDefault="00192F15" w:rsidP="00044644">
            <w:pPr>
              <w:spacing w:after="0" w:line="240" w:lineRule="auto"/>
              <w:rPr>
                <w:sz w:val="22"/>
              </w:rPr>
            </w:pPr>
          </w:p>
          <w:p w14:paraId="3A80508F" w14:textId="77777777" w:rsidR="00192F15" w:rsidRDefault="00192F15" w:rsidP="00044644">
            <w:pPr>
              <w:spacing w:after="0" w:line="240" w:lineRule="auto"/>
              <w:rPr>
                <w:sz w:val="22"/>
              </w:rPr>
            </w:pPr>
          </w:p>
          <w:p w14:paraId="67426EB1" w14:textId="77777777" w:rsidR="00192F15" w:rsidRDefault="00192F15" w:rsidP="00044644">
            <w:pPr>
              <w:spacing w:after="0" w:line="240" w:lineRule="auto"/>
              <w:rPr>
                <w:sz w:val="22"/>
              </w:rPr>
            </w:pPr>
          </w:p>
          <w:p w14:paraId="021DE7D2" w14:textId="77777777" w:rsidR="00192F15" w:rsidRDefault="00192F15" w:rsidP="00044644">
            <w:pPr>
              <w:spacing w:after="0" w:line="240" w:lineRule="auto"/>
              <w:rPr>
                <w:sz w:val="22"/>
              </w:rPr>
            </w:pPr>
          </w:p>
          <w:p w14:paraId="200D1E53" w14:textId="77777777" w:rsidR="00192F15" w:rsidRDefault="00192F15" w:rsidP="00044644">
            <w:pPr>
              <w:spacing w:after="0" w:line="240" w:lineRule="auto"/>
              <w:rPr>
                <w:sz w:val="22"/>
              </w:rPr>
            </w:pPr>
          </w:p>
          <w:p w14:paraId="6EBC5FAD" w14:textId="77777777" w:rsidR="00192F15" w:rsidRDefault="00192F15" w:rsidP="00044644">
            <w:pPr>
              <w:spacing w:after="0" w:line="240" w:lineRule="auto"/>
              <w:rPr>
                <w:sz w:val="22"/>
              </w:rPr>
            </w:pPr>
          </w:p>
          <w:p w14:paraId="04CFB5FD" w14:textId="325129C6" w:rsidR="00192F15" w:rsidRPr="009B3FC7" w:rsidRDefault="00192F15" w:rsidP="00044644">
            <w:pPr>
              <w:spacing w:after="0" w:line="240" w:lineRule="auto"/>
              <w:rPr>
                <w:sz w:val="22"/>
              </w:rPr>
            </w:pPr>
          </w:p>
        </w:tc>
      </w:tr>
    </w:tbl>
    <w:p w14:paraId="187D943E" w14:textId="303B9DFF" w:rsidR="008C3171" w:rsidRDefault="008C3171" w:rsidP="00E10B1F">
      <w:pPr>
        <w:spacing w:after="0" w:line="240" w:lineRule="auto"/>
        <w:rPr>
          <w:b/>
          <w:sz w:val="23"/>
          <w:szCs w:val="23"/>
        </w:rPr>
      </w:pPr>
    </w:p>
    <w:p w14:paraId="7A290877" w14:textId="77777777" w:rsidR="00240F6E" w:rsidRDefault="00240F6E"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5B563DBF"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D674ED">
      <w:rPr>
        <w:b/>
        <w:bCs/>
        <w:noProof/>
      </w:rPr>
      <w:t>8</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D674ED">
      <w:rPr>
        <w:b/>
        <w:bCs/>
        <w:noProof/>
      </w:rPr>
      <w:t>8</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7E5B77">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7E5B77">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7E5B77">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2F15"/>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40F6E"/>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37C9"/>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5B77"/>
    <w:rsid w:val="007E6664"/>
    <w:rsid w:val="007E781B"/>
    <w:rsid w:val="007F20BD"/>
    <w:rsid w:val="00802166"/>
    <w:rsid w:val="00802258"/>
    <w:rsid w:val="00810146"/>
    <w:rsid w:val="00814147"/>
    <w:rsid w:val="00814503"/>
    <w:rsid w:val="00815037"/>
    <w:rsid w:val="00820493"/>
    <w:rsid w:val="0082132B"/>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C3171"/>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269"/>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86C93"/>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1BF7"/>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674ED"/>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816"/>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B7867"/>
    <w:rsid w:val="00EC2B65"/>
    <w:rsid w:val="00ED0EC4"/>
    <w:rsid w:val="00ED19DB"/>
    <w:rsid w:val="00ED5599"/>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371DF"/>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3DA9-B0B0-4E47-96CC-6D8E42E4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3773</Words>
  <Characters>24999</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28715</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2023-11-07T11:00:00Z</cp:lastPrinted>
  <dcterms:created xsi:type="dcterms:W3CDTF">2023-11-21T08:28:00Z</dcterms:created>
  <dcterms:modified xsi:type="dcterms:W3CDTF">2023-11-21T10:11:00Z</dcterms:modified>
</cp:coreProperties>
</file>