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8" w:rsidRPr="00A626C8" w:rsidRDefault="00B01BC8" w:rsidP="00B01BC8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626C8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B01BC8" w:rsidRPr="00A626C8" w:rsidRDefault="00B01BC8" w:rsidP="00B01BC8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B01BC8" w:rsidRPr="00A626C8" w:rsidRDefault="00B01BC8" w:rsidP="00B01BC8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  <w:t>від «_</w:t>
      </w:r>
      <w:r>
        <w:rPr>
          <w:rFonts w:ascii="Times New Roman" w:hAnsi="Times New Roman" w:cs="Times New Roman"/>
          <w:sz w:val="22"/>
          <w:szCs w:val="22"/>
          <w:lang w:val="uk-UA"/>
        </w:rPr>
        <w:t>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_» _________ 202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B01BC8" w:rsidRPr="00A626C8" w:rsidRDefault="00B01BC8" w:rsidP="00B01BC8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01BC8" w:rsidRPr="00A626C8" w:rsidRDefault="00B01BC8" w:rsidP="00B01BC8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Покупець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B01BC8" w:rsidRPr="00A626C8" w:rsidRDefault="00B01BC8" w:rsidP="00B01BC8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B01BC8" w:rsidRPr="00A626C8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B01BC8" w:rsidRPr="00071300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Президента України «Про продовження строку дії воєнного стану в Україні», на підставі Указу Президента України від 18 квітня 2022 року №259/2022 «Про продовження строку дії воєнного стану в Україні», який </w:t>
      </w:r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071300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року.</w:t>
      </w:r>
    </w:p>
    <w:p w:rsidR="00B01BC8" w:rsidRPr="00071300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Pr="00071300">
        <w:rPr>
          <w:rFonts w:ascii="Times New Roman" w:hAnsi="Times New Roman" w:cs="Times New Roman"/>
          <w:sz w:val="22"/>
          <w:szCs w:val="22"/>
          <w:lang w:val="uk-UA" w:eastAsia="ru-RU"/>
        </w:rPr>
        <w:t>33600000-6 Фармацевтична продукція</w:t>
      </w:r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(Лот 1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Metamizole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sodium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Erythropoietin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Theophylline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Acetylcysteine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Paracetamol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Lactulose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</w:rPr>
        <w:t>Magnesium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</w:rPr>
        <w:t>sulfate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Mannitol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Metronidazole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Sodium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chloride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Electrolytes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in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combination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with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other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drugs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Electrolytes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Tranexamic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acid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Comb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drug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Arginine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hydrochloride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Cefepime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Ondansetron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Лот 2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Lactulose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Salbutamol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Electrolytes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in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combination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with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other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drugs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Comb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drug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Arginine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hydrochloride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Ciprofloxacin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>Mannitol</w:t>
      </w:r>
      <w:proofErr w:type="spellEnd"/>
      <w:r w:rsidRPr="0007130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; </w:t>
      </w:r>
      <w:proofErr w:type="spellStart"/>
      <w:r w:rsidRPr="00071300">
        <w:rPr>
          <w:rFonts w:ascii="Times New Roman" w:hAnsi="Times New Roman" w:cs="Times New Roman"/>
          <w:sz w:val="22"/>
          <w:szCs w:val="22"/>
          <w:lang w:val="uk-UA"/>
        </w:rPr>
        <w:t>Iohexol</w:t>
      </w:r>
      <w:proofErr w:type="spellEnd"/>
      <w:r w:rsidRPr="00071300">
        <w:rPr>
          <w:rFonts w:ascii="Times New Roman" w:hAnsi="Times New Roman" w:cs="Times New Roman"/>
          <w:sz w:val="22"/>
          <w:szCs w:val="22"/>
          <w:lang w:val="uk-UA"/>
        </w:rPr>
        <w:t xml:space="preserve">) </w:t>
      </w:r>
    </w:p>
    <w:p w:rsidR="00B01BC8" w:rsidRPr="00071300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071300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B01BC8" w:rsidRPr="00071300" w:rsidRDefault="00B01BC8" w:rsidP="00B01BC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71300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B01BC8" w:rsidRPr="00E22C9F" w:rsidRDefault="00B01BC8" w:rsidP="00B01BC8">
      <w:pPr>
        <w:pStyle w:val="a5"/>
        <w:ind w:firstLine="0"/>
        <w:rPr>
          <w:sz w:val="22"/>
          <w:szCs w:val="22"/>
        </w:rPr>
      </w:pPr>
      <w:r w:rsidRPr="00071300">
        <w:rPr>
          <w:sz w:val="22"/>
          <w:szCs w:val="22"/>
        </w:rPr>
        <w:t>2.1. Поставка товару Постачальником здійснюється на протязі не більше 14 (чотирнадцяти) робочих днів з</w:t>
      </w:r>
      <w:r w:rsidRPr="00E22C9F">
        <w:rPr>
          <w:sz w:val="22"/>
          <w:szCs w:val="22"/>
        </w:rPr>
        <w:t xml:space="preserve"> моменту отримання заявки від Замовника на постачання товару. </w:t>
      </w:r>
    </w:p>
    <w:p w:rsidR="00B01BC8" w:rsidRPr="00022C4A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</w:t>
      </w:r>
      <w:r w:rsidRPr="00022C4A">
        <w:rPr>
          <w:rFonts w:ascii="Times New Roman" w:hAnsi="Times New Roman" w:cs="Times New Roman"/>
          <w:sz w:val="22"/>
          <w:szCs w:val="22"/>
          <w:lang w:val="uk-UA"/>
        </w:rPr>
        <w:t xml:space="preserve"> Березина, вул. Каштанова, буд. 5.</w:t>
      </w:r>
    </w:p>
    <w:p w:rsidR="00B01BC8" w:rsidRPr="00A626C8" w:rsidRDefault="00B01BC8" w:rsidP="00B01BC8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022C4A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022C4A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022C4A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lastRenderedPageBreak/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B01BC8" w:rsidRPr="00A626C8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ції і остаточні розрахунки між сторонами здійснюються виходячи із сукупної вартості поставленого товару.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B01BC8" w:rsidRPr="0013222F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</w:t>
      </w:r>
      <w:r w:rsidRPr="0013222F">
        <w:rPr>
          <w:rFonts w:ascii="Times New Roman" w:hAnsi="Times New Roman" w:cs="Times New Roman"/>
          <w:sz w:val="22"/>
          <w:szCs w:val="22"/>
          <w:lang w:val="uk-UA"/>
        </w:rPr>
        <w:t xml:space="preserve">протягом 20 (двадцяти) банківських днів з дати одержання товару. 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222F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lastRenderedPageBreak/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B01BC8" w:rsidRPr="00A626C8" w:rsidRDefault="00B01BC8" w:rsidP="00B01BC8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B01BC8" w:rsidRPr="00A626C8" w:rsidRDefault="00B01BC8" w:rsidP="00B01BC8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</w:rPr>
        <w:t>6.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626C8">
        <w:rPr>
          <w:rFonts w:ascii="Times New Roman" w:hAnsi="Times New Roman" w:cs="Times New Roman"/>
          <w:sz w:val="22"/>
          <w:szCs w:val="22"/>
        </w:rPr>
        <w:t>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B01BC8" w:rsidRPr="00A626C8" w:rsidRDefault="00B01BC8" w:rsidP="00B01BC8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B01BC8" w:rsidRPr="00A626C8" w:rsidRDefault="00B01BC8" w:rsidP="00B01BC8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B01B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01BC8" w:rsidRDefault="00B01BC8" w:rsidP="00B01BC8">
      <w:pPr>
        <w:shd w:val="clear" w:color="auto" w:fill="FFFFFF"/>
        <w:overflowPunct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B01BC8" w:rsidRPr="00A626C8" w:rsidRDefault="00B01BC8" w:rsidP="00B01BC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B01BC8" w:rsidRPr="00A626C8" w:rsidTr="00140550">
        <w:tc>
          <w:tcPr>
            <w:tcW w:w="5495" w:type="dxa"/>
            <w:shd w:val="clear" w:color="auto" w:fill="auto"/>
          </w:tcPr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26C8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тел./факс. (0432)566406, 566405</w:t>
            </w:r>
          </w:p>
          <w:p w:rsidR="00B01BC8" w:rsidRPr="00A626C8" w:rsidRDefault="00B01BC8" w:rsidP="00140550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UA293020760000026004300391169</w:t>
            </w:r>
          </w:p>
          <w:p w:rsidR="00B01BC8" w:rsidRPr="00A626C8" w:rsidRDefault="00B01BC8" w:rsidP="00140550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ТВБВ №10001/0188 філія Вінницьке ОУ АТ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«Ощадбанк», </w:t>
            </w: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B01BC8" w:rsidRPr="00E22C9F" w:rsidRDefault="00B01BC8" w:rsidP="00B01BC8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№____ від __________202__  року</w:t>
      </w: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819"/>
        <w:gridCol w:w="1276"/>
        <w:gridCol w:w="567"/>
        <w:gridCol w:w="567"/>
        <w:gridCol w:w="1418"/>
        <w:gridCol w:w="1417"/>
      </w:tblGrid>
      <w:tr w:rsidR="00B01BC8" w:rsidRPr="00E22C9F" w:rsidTr="00140550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B01BC8" w:rsidRPr="00E22C9F" w:rsidRDefault="00B01BC8" w:rsidP="00140550">
            <w:pPr>
              <w:spacing w:before="40" w:line="264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B01BC8" w:rsidRPr="00E22C9F" w:rsidRDefault="00B01BC8" w:rsidP="00B01BC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B01BC8" w:rsidRPr="00E22C9F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01BC8" w:rsidRPr="00E22C9F" w:rsidRDefault="00B01BC8" w:rsidP="00B01BC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C28F1" w:rsidRDefault="006E4905"/>
    <w:sectPr w:rsidR="000C28F1" w:rsidSect="006E4905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1BC8"/>
    <w:rsid w:val="00446331"/>
    <w:rsid w:val="006E4905"/>
    <w:rsid w:val="007029A5"/>
    <w:rsid w:val="009D581F"/>
    <w:rsid w:val="00B01BC8"/>
    <w:rsid w:val="00CE6C02"/>
    <w:rsid w:val="00D44660"/>
    <w:rsid w:val="00D7394C"/>
    <w:rsid w:val="00E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C8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B01B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B01BC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B01BC8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B01B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01BC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B01BC8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B01BC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01BC8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B01BC8"/>
    <w:pPr>
      <w:spacing w:after="120"/>
    </w:pPr>
  </w:style>
  <w:style w:type="character" w:customStyle="1" w:styleId="a4">
    <w:name w:val="Основной текст Знак"/>
    <w:basedOn w:val="a0"/>
    <w:link w:val="a3"/>
    <w:rsid w:val="00B01BC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B01BC8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B01BC8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B01BC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B01BC8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B01BC8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B01BC8"/>
    <w:pPr>
      <w:numPr>
        <w:ilvl w:val="2"/>
      </w:numPr>
    </w:pPr>
  </w:style>
  <w:style w:type="paragraph" w:customStyle="1" w:styleId="4">
    <w:name w:val="Перечень 4"/>
    <w:basedOn w:val="30"/>
    <w:rsid w:val="00B01BC8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2022-12-19T13:48:00Z</dcterms:created>
  <dcterms:modified xsi:type="dcterms:W3CDTF">2022-12-19T13:50:00Z</dcterms:modified>
</cp:coreProperties>
</file>