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C7" w:rsidRDefault="00533FC7" w:rsidP="00533F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FC7" w:rsidRDefault="00533FC7" w:rsidP="00533F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FC7" w:rsidRPr="00533FC7" w:rsidRDefault="00533FC7" w:rsidP="00533F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F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1</w:t>
      </w:r>
    </w:p>
    <w:p w:rsidR="00533FC7" w:rsidRPr="00FD0EDA" w:rsidRDefault="00533FC7" w:rsidP="00533F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33FC7" w:rsidRPr="00533FC7" w:rsidRDefault="00533FC7" w:rsidP="00533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Технічні, якісні, кількісні та інші вимоги до предмету закупівлі </w:t>
      </w:r>
    </w:p>
    <w:p w:rsidR="00533FC7" w:rsidRPr="00533FC7" w:rsidRDefault="00533FC7" w:rsidP="00533F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533FC7" w:rsidRPr="00FD0EDA" w:rsidRDefault="00533FC7" w:rsidP="00533FC7">
      <w:pPr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Перелік </w:t>
      </w:r>
      <w:r w:rsidRPr="00181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 з регламентного технічного обслуговування систем безперебійного електроживлення ОЦОД та РЦОД</w:t>
      </w:r>
      <w:r w:rsidRPr="00FD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FC7" w:rsidRPr="00777942" w:rsidRDefault="00533FC7" w:rsidP="00533FC7">
      <w:pPr>
        <w:tabs>
          <w:tab w:val="left" w:pos="567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6379"/>
        <w:gridCol w:w="992"/>
      </w:tblGrid>
      <w:tr w:rsidR="00533FC7" w:rsidRPr="00777942" w:rsidTr="00FC638A">
        <w:trPr>
          <w:trHeight w:val="20"/>
        </w:trPr>
        <w:tc>
          <w:tcPr>
            <w:tcW w:w="567" w:type="dxa"/>
            <w:shd w:val="clear" w:color="auto" w:fill="E7E6E6"/>
          </w:tcPr>
          <w:p w:rsidR="00533FC7" w:rsidRPr="00777942" w:rsidRDefault="00533FC7" w:rsidP="00FC638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533FC7" w:rsidRPr="00777942" w:rsidRDefault="00533FC7" w:rsidP="00FC638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Артикул послуги виробника ДБЖ</w:t>
            </w:r>
          </w:p>
        </w:tc>
        <w:tc>
          <w:tcPr>
            <w:tcW w:w="6379" w:type="dxa"/>
            <w:shd w:val="clear" w:color="auto" w:fill="E7E6E6"/>
            <w:vAlign w:val="center"/>
          </w:tcPr>
          <w:p w:rsidR="00533FC7" w:rsidRPr="00777942" w:rsidRDefault="00533FC7" w:rsidP="00FC638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Найменування послуги</w:t>
            </w:r>
          </w:p>
        </w:tc>
        <w:tc>
          <w:tcPr>
            <w:tcW w:w="992" w:type="dxa"/>
            <w:shd w:val="clear" w:color="auto" w:fill="E7E6E6"/>
          </w:tcPr>
          <w:p w:rsidR="00533FC7" w:rsidRPr="00777942" w:rsidRDefault="00533FC7" w:rsidP="00FC638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К-ть </w:t>
            </w:r>
          </w:p>
        </w:tc>
      </w:tr>
      <w:tr w:rsidR="00533FC7" w:rsidRPr="00777942" w:rsidTr="00FC638A">
        <w:trPr>
          <w:trHeight w:val="20"/>
        </w:trPr>
        <w:tc>
          <w:tcPr>
            <w:tcW w:w="567" w:type="dxa"/>
          </w:tcPr>
          <w:p w:rsidR="00533FC7" w:rsidRPr="00777942" w:rsidRDefault="00533FC7" w:rsidP="00FC638A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</w:tcPr>
          <w:p w:rsidR="00533FC7" w:rsidRPr="00777942" w:rsidRDefault="00533FC7" w:rsidP="00FC638A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WSAPMV-UG-01</w:t>
            </w:r>
          </w:p>
        </w:tc>
        <w:tc>
          <w:tcPr>
            <w:tcW w:w="6379" w:type="dxa"/>
            <w:noWrap/>
          </w:tcPr>
          <w:p w:rsidR="00533FC7" w:rsidRPr="00777942" w:rsidRDefault="00533FC7" w:rsidP="00FC638A">
            <w:pPr>
              <w:keepNext/>
              <w:shd w:val="clear" w:color="auto" w:fill="FFFFFF"/>
              <w:suppressAutoHyphens/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7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Регламентне технічне обслуговування ДБЖ </w:t>
            </w:r>
            <w:r w:rsidRPr="00777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APC</w:t>
            </w:r>
            <w:r w:rsidRPr="00777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Symmetra</w:t>
            </w:r>
            <w:proofErr w:type="spellEnd"/>
            <w:r w:rsidRPr="00777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77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PX</w:t>
            </w:r>
            <w:r w:rsidRPr="00777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96</w:t>
            </w:r>
            <w:r w:rsidRPr="00777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kW</w:t>
            </w:r>
            <w:r w:rsidRPr="00777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77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Scalable</w:t>
            </w:r>
            <w:r w:rsidRPr="00777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77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</w:t>
            </w:r>
            <w:r w:rsidRPr="00777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160</w:t>
            </w:r>
            <w:r w:rsidRPr="00777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kW</w:t>
            </w:r>
            <w:r w:rsidRPr="00777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400</w:t>
            </w:r>
            <w:r w:rsidRPr="00777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2" w:type="dxa"/>
          </w:tcPr>
          <w:p w:rsidR="00533FC7" w:rsidRPr="00777942" w:rsidRDefault="00533FC7" w:rsidP="00FC638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3,00</w:t>
            </w:r>
          </w:p>
        </w:tc>
      </w:tr>
    </w:tbl>
    <w:p w:rsidR="00533FC7" w:rsidRPr="00777942" w:rsidRDefault="00533FC7" w:rsidP="00533FC7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33FC7" w:rsidRPr="00FD0EDA" w:rsidRDefault="00533FC7" w:rsidP="00533FC7">
      <w:pPr>
        <w:numPr>
          <w:ilvl w:val="0"/>
          <w:numId w:val="1"/>
        </w:numPr>
        <w:tabs>
          <w:tab w:val="left" w:pos="567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 послуг з регламентного технічного обслуговування ДБЖ APC </w:t>
      </w:r>
      <w:proofErr w:type="spellStart"/>
      <w:r w:rsidRPr="00FD0EDA">
        <w:rPr>
          <w:rFonts w:ascii="Times New Roman" w:eastAsia="Times New Roman" w:hAnsi="Times New Roman" w:cs="Times New Roman"/>
          <w:sz w:val="24"/>
          <w:szCs w:val="24"/>
          <w:lang w:eastAsia="ru-RU"/>
        </w:rPr>
        <w:t>Symmetra</w:t>
      </w:r>
      <w:proofErr w:type="spellEnd"/>
      <w:r w:rsidRPr="00FD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PX 96kW </w:t>
      </w:r>
      <w:proofErr w:type="spellStart"/>
      <w:r w:rsidRPr="00FD0EDA">
        <w:rPr>
          <w:rFonts w:ascii="Times New Roman" w:eastAsia="Times New Roman" w:hAnsi="Times New Roman" w:cs="Times New Roman"/>
          <w:sz w:val="24"/>
          <w:szCs w:val="24"/>
          <w:lang w:eastAsia="ru-RU"/>
        </w:rPr>
        <w:t>Scalableto</w:t>
      </w:r>
      <w:proofErr w:type="spellEnd"/>
      <w:r w:rsidRPr="00FD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160kW, 400V (артикул послуги виробника ДБЖ: WSAPMV-UG-01):</w:t>
      </w:r>
    </w:p>
    <w:p w:rsidR="00533FC7" w:rsidRPr="00661DD6" w:rsidRDefault="00533FC7" w:rsidP="00533FC7">
      <w:pPr>
        <w:tabs>
          <w:tab w:val="left" w:pos="567"/>
        </w:tabs>
        <w:spacing w:after="0" w:line="240" w:lineRule="atLeast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214"/>
      </w:tblGrid>
      <w:tr w:rsidR="00533FC7" w:rsidRPr="00777942" w:rsidTr="00FC638A">
        <w:trPr>
          <w:trHeight w:val="440"/>
          <w:tblHeader/>
        </w:trPr>
        <w:tc>
          <w:tcPr>
            <w:tcW w:w="567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FC7" w:rsidRPr="00777942" w:rsidRDefault="00533FC7" w:rsidP="00FC638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9214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FC7" w:rsidRPr="00777942" w:rsidRDefault="00533FC7" w:rsidP="00FC638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Найменування складових послуги</w:t>
            </w:r>
          </w:p>
        </w:tc>
      </w:tr>
      <w:tr w:rsidR="00533FC7" w:rsidRPr="00777942" w:rsidTr="00FC638A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7" w:rsidRPr="00777942" w:rsidRDefault="00533FC7" w:rsidP="00FC638A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7" w:rsidRPr="00777942" w:rsidRDefault="00533FC7" w:rsidP="00FC638A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Перевірка відповідності приміщення вимогам виробника обладнання</w:t>
            </w:r>
          </w:p>
        </w:tc>
      </w:tr>
      <w:tr w:rsidR="00533FC7" w:rsidRPr="00777942" w:rsidTr="00FC638A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FC7" w:rsidRPr="00777942" w:rsidRDefault="00533FC7" w:rsidP="00FC638A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FC7" w:rsidRPr="00777942" w:rsidRDefault="00533FC7" w:rsidP="00FC638A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Вимкнення ДБЖ та переключення навантаження на ручний </w:t>
            </w:r>
            <w:proofErr w:type="spellStart"/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байпас</w:t>
            </w:r>
            <w:proofErr w:type="spellEnd"/>
          </w:p>
        </w:tc>
      </w:tr>
      <w:tr w:rsidR="00533FC7" w:rsidRPr="00777942" w:rsidTr="00FC638A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7" w:rsidRPr="00777942" w:rsidRDefault="00533FC7" w:rsidP="00FC638A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7" w:rsidRPr="00777942" w:rsidRDefault="00533FC7" w:rsidP="00FC638A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Візуальний огляд зовнішнього та внутрішнього стану ДБЖ:</w:t>
            </w:r>
          </w:p>
          <w:p w:rsidR="00533FC7" w:rsidRPr="00777942" w:rsidRDefault="00533FC7" w:rsidP="00FC638A">
            <w:pPr>
              <w:numPr>
                <w:ilvl w:val="0"/>
                <w:numId w:val="2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Перевірка електричних з’єднань блоків та вузлів;</w:t>
            </w:r>
          </w:p>
          <w:p w:rsidR="00533FC7" w:rsidRPr="00777942" w:rsidRDefault="00533FC7" w:rsidP="00FC638A">
            <w:pPr>
              <w:numPr>
                <w:ilvl w:val="0"/>
                <w:numId w:val="2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Перевірка стану плат та інших компонентів;</w:t>
            </w:r>
          </w:p>
          <w:p w:rsidR="00533FC7" w:rsidRPr="00777942" w:rsidRDefault="00533FC7" w:rsidP="00FC638A">
            <w:pPr>
              <w:numPr>
                <w:ilvl w:val="0"/>
                <w:numId w:val="2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Перевірка конденсаторів по постійній напрузі;</w:t>
            </w:r>
          </w:p>
          <w:p w:rsidR="00533FC7" w:rsidRPr="00777942" w:rsidRDefault="00533FC7" w:rsidP="00FC638A">
            <w:pPr>
              <w:numPr>
                <w:ilvl w:val="0"/>
                <w:numId w:val="2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Перевірка роботи вентиляторів</w:t>
            </w:r>
          </w:p>
        </w:tc>
      </w:tr>
      <w:tr w:rsidR="00533FC7" w:rsidRPr="00777942" w:rsidTr="00FC638A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7" w:rsidRPr="00777942" w:rsidRDefault="00533FC7" w:rsidP="00FC638A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7" w:rsidRPr="00777942" w:rsidRDefault="00533FC7" w:rsidP="00FC638A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Очистка від пилу електронних блоків та силових частин ДБЖ*</w:t>
            </w:r>
          </w:p>
        </w:tc>
      </w:tr>
      <w:tr w:rsidR="00533FC7" w:rsidRPr="00777942" w:rsidTr="00FC638A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7" w:rsidRPr="00777942" w:rsidRDefault="00533FC7" w:rsidP="00FC638A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7" w:rsidRPr="00777942" w:rsidRDefault="00533FC7" w:rsidP="00FC638A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Протяжка силових контактів, які не знаходяться під напругою</w:t>
            </w:r>
          </w:p>
        </w:tc>
      </w:tr>
      <w:tr w:rsidR="00533FC7" w:rsidRPr="00777942" w:rsidTr="00FC638A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FC7" w:rsidRPr="00777942" w:rsidRDefault="00533FC7" w:rsidP="00FC638A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FC7" w:rsidRPr="00777942" w:rsidRDefault="00533FC7" w:rsidP="00FC638A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Ввімкнення ДБЖ</w:t>
            </w:r>
          </w:p>
        </w:tc>
      </w:tr>
      <w:tr w:rsidR="00533FC7" w:rsidRPr="00777942" w:rsidTr="00FC638A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7" w:rsidRPr="00777942" w:rsidRDefault="00533FC7" w:rsidP="00FC638A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7" w:rsidRPr="00777942" w:rsidRDefault="00533FC7" w:rsidP="00FC638A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Перегляд журналів подій та даних обладнання </w:t>
            </w:r>
          </w:p>
        </w:tc>
      </w:tr>
      <w:tr w:rsidR="00533FC7" w:rsidRPr="00777942" w:rsidTr="00FC638A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7" w:rsidRPr="00777942" w:rsidRDefault="00533FC7" w:rsidP="00FC638A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7" w:rsidRPr="00777942" w:rsidRDefault="00533FC7" w:rsidP="00FC638A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Перевірка ревізій програмного та апаратного забезпечення. Оновлення за необхідності.</w:t>
            </w:r>
          </w:p>
        </w:tc>
      </w:tr>
      <w:tr w:rsidR="00533FC7" w:rsidRPr="00777942" w:rsidTr="00FC638A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7" w:rsidRPr="00777942" w:rsidRDefault="00533FC7" w:rsidP="00FC638A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7" w:rsidRPr="00777942" w:rsidRDefault="00533FC7" w:rsidP="00FC638A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Переключення живлення навантаження з ручного </w:t>
            </w:r>
            <w:proofErr w:type="spellStart"/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байпасу</w:t>
            </w:r>
            <w:proofErr w:type="spellEnd"/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 ДБЖ.</w:t>
            </w:r>
          </w:p>
        </w:tc>
      </w:tr>
      <w:tr w:rsidR="00533FC7" w:rsidRPr="00777942" w:rsidTr="00FC638A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7" w:rsidRPr="00777942" w:rsidRDefault="00533FC7" w:rsidP="00FC638A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7" w:rsidRPr="00777942" w:rsidRDefault="00533FC7" w:rsidP="00FC638A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Перевірка основних режимів роботи ДБЖ:</w:t>
            </w:r>
          </w:p>
          <w:p w:rsidR="00533FC7" w:rsidRPr="00777942" w:rsidRDefault="00533FC7" w:rsidP="00FC638A">
            <w:pPr>
              <w:numPr>
                <w:ilvl w:val="0"/>
                <w:numId w:val="2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Нормальний режим;</w:t>
            </w:r>
          </w:p>
          <w:p w:rsidR="00533FC7" w:rsidRPr="00777942" w:rsidRDefault="00533FC7" w:rsidP="00FC638A">
            <w:pPr>
              <w:numPr>
                <w:ilvl w:val="0"/>
                <w:numId w:val="2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Режим роботи від </w:t>
            </w:r>
            <w:proofErr w:type="spellStart"/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батарей</w:t>
            </w:r>
            <w:proofErr w:type="spellEnd"/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533FC7" w:rsidRPr="00777942" w:rsidRDefault="00533FC7" w:rsidP="00FC638A">
            <w:pPr>
              <w:numPr>
                <w:ilvl w:val="0"/>
                <w:numId w:val="2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Робота в режиме – автоматичний </w:t>
            </w:r>
            <w:proofErr w:type="spellStart"/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by-pass</w:t>
            </w:r>
            <w:proofErr w:type="spellEnd"/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533FC7" w:rsidRPr="00777942" w:rsidRDefault="00533FC7" w:rsidP="00FC638A">
            <w:pPr>
              <w:numPr>
                <w:ilvl w:val="0"/>
                <w:numId w:val="2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Робота в режимі – ручний </w:t>
            </w:r>
            <w:proofErr w:type="spellStart"/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by-pass</w:t>
            </w:r>
            <w:proofErr w:type="spellEnd"/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</w:tc>
      </w:tr>
      <w:tr w:rsidR="00533FC7" w:rsidRPr="00777942" w:rsidTr="00FC638A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7" w:rsidRPr="00777942" w:rsidRDefault="00533FC7" w:rsidP="00FC638A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7" w:rsidRPr="00777942" w:rsidRDefault="00533FC7" w:rsidP="00FC638A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Вимірювання вхідних та вихідних параметрів ДБЖ:</w:t>
            </w:r>
          </w:p>
          <w:p w:rsidR="00533FC7" w:rsidRPr="00777942" w:rsidRDefault="00533FC7" w:rsidP="00FC638A">
            <w:pPr>
              <w:numPr>
                <w:ilvl w:val="0"/>
                <w:numId w:val="2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Вхідна напруга;</w:t>
            </w:r>
          </w:p>
          <w:p w:rsidR="00533FC7" w:rsidRPr="00777942" w:rsidRDefault="00533FC7" w:rsidP="00FC638A">
            <w:pPr>
              <w:numPr>
                <w:ilvl w:val="0"/>
                <w:numId w:val="2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Частота вхідної напруги;</w:t>
            </w:r>
          </w:p>
          <w:p w:rsidR="00533FC7" w:rsidRPr="00777942" w:rsidRDefault="00533FC7" w:rsidP="00FC638A">
            <w:pPr>
              <w:numPr>
                <w:ilvl w:val="0"/>
                <w:numId w:val="2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Вхідні токи;</w:t>
            </w:r>
          </w:p>
          <w:p w:rsidR="00533FC7" w:rsidRPr="00777942" w:rsidRDefault="00533FC7" w:rsidP="00FC638A">
            <w:pPr>
              <w:numPr>
                <w:ilvl w:val="0"/>
                <w:numId w:val="2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Вихідна напруга;</w:t>
            </w:r>
          </w:p>
          <w:p w:rsidR="00533FC7" w:rsidRPr="00777942" w:rsidRDefault="00533FC7" w:rsidP="00FC638A">
            <w:pPr>
              <w:numPr>
                <w:ilvl w:val="0"/>
                <w:numId w:val="2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Вихідні токи;</w:t>
            </w:r>
          </w:p>
          <w:p w:rsidR="00533FC7" w:rsidRPr="00777942" w:rsidRDefault="00533FC7" w:rsidP="00FC638A">
            <w:pPr>
              <w:numPr>
                <w:ilvl w:val="0"/>
                <w:numId w:val="2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Частота вихідної напруги.</w:t>
            </w:r>
          </w:p>
        </w:tc>
      </w:tr>
      <w:tr w:rsidR="00533FC7" w:rsidRPr="00777942" w:rsidTr="00FC638A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7" w:rsidRPr="00777942" w:rsidRDefault="00533FC7" w:rsidP="00FC638A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7" w:rsidRPr="00777942" w:rsidRDefault="00533FC7" w:rsidP="00FC638A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Порівняння результатів вимірів та розрахунку з індикацією відображеної на моніторі ДБЖ та іншими системами моніторингу</w:t>
            </w:r>
          </w:p>
        </w:tc>
      </w:tr>
      <w:tr w:rsidR="00533FC7" w:rsidRPr="00777942" w:rsidTr="00FC638A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7" w:rsidRPr="00777942" w:rsidRDefault="00533FC7" w:rsidP="00FC638A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7" w:rsidRPr="00777942" w:rsidRDefault="00533FC7" w:rsidP="00FC638A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Калібровка</w:t>
            </w:r>
            <w:proofErr w:type="spellEnd"/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параметрів вимірюваних ДБЖ (у разі необхідності). Навантаження, необхідне для </w:t>
            </w:r>
            <w:proofErr w:type="spellStart"/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калібровки</w:t>
            </w:r>
            <w:proofErr w:type="spellEnd"/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забезпечує Замовник</w:t>
            </w:r>
          </w:p>
        </w:tc>
      </w:tr>
      <w:tr w:rsidR="00533FC7" w:rsidRPr="00777942" w:rsidTr="00FC638A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7" w:rsidRPr="00777942" w:rsidRDefault="00533FC7" w:rsidP="00FC638A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7" w:rsidRPr="00777942" w:rsidRDefault="00533FC7" w:rsidP="00FC638A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Вимірювання внутрішніх установочних параметрів ДБЖ </w:t>
            </w:r>
          </w:p>
        </w:tc>
      </w:tr>
      <w:tr w:rsidR="00533FC7" w:rsidRPr="00777942" w:rsidTr="00FC638A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7" w:rsidRPr="00777942" w:rsidRDefault="00533FC7" w:rsidP="00FC638A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7" w:rsidRPr="00777942" w:rsidRDefault="00533FC7" w:rsidP="00FC638A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Перевірка роботи сигналізації та моніторингу</w:t>
            </w:r>
          </w:p>
        </w:tc>
      </w:tr>
      <w:tr w:rsidR="00533FC7" w:rsidRPr="00777942" w:rsidTr="00FC638A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7" w:rsidRPr="00777942" w:rsidRDefault="00533FC7" w:rsidP="00FC638A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7" w:rsidRPr="00777942" w:rsidRDefault="00533FC7" w:rsidP="00FC638A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Перевірка стану акумуляторних </w:t>
            </w:r>
            <w:proofErr w:type="spellStart"/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батарей</w:t>
            </w:r>
            <w:proofErr w:type="spellEnd"/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без розборки:</w:t>
            </w:r>
          </w:p>
          <w:p w:rsidR="00533FC7" w:rsidRPr="00777942" w:rsidRDefault="00533FC7" w:rsidP="00FC638A">
            <w:pPr>
              <w:numPr>
                <w:ilvl w:val="0"/>
                <w:numId w:val="2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Перевірка часу роботи від акумуляторних </w:t>
            </w:r>
            <w:proofErr w:type="spellStart"/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батарей</w:t>
            </w:r>
            <w:proofErr w:type="spellEnd"/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шляхом контрольного розряду на номінальне навантаження обладнання тривалістю не більше 30 хвилин (проведення ручного тесту </w:t>
            </w:r>
            <w:proofErr w:type="spellStart"/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батарей</w:t>
            </w:r>
            <w:proofErr w:type="spellEnd"/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при якому з’ясовується реальна залишкова ємність акумуляторних </w:t>
            </w:r>
            <w:proofErr w:type="spellStart"/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батарей</w:t>
            </w:r>
            <w:proofErr w:type="spellEnd"/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533FC7" w:rsidRPr="00777942" w:rsidTr="00FC638A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7" w:rsidRPr="00777942" w:rsidRDefault="00533FC7" w:rsidP="00FC638A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7" w:rsidRPr="00777942" w:rsidRDefault="00533FC7" w:rsidP="00FC638A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Контрольна перевірка реакції одиночного ДБЖ на зникнення вхідної напруги. Контрольна перевірка реакції паралельної системи ДБЖ на зникнення вхідної напруги на всіх ДБЖ.</w:t>
            </w:r>
          </w:p>
        </w:tc>
      </w:tr>
      <w:tr w:rsidR="00533FC7" w:rsidRPr="00777942" w:rsidTr="00FC638A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7" w:rsidRPr="00777942" w:rsidRDefault="00533FC7" w:rsidP="00FC638A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7" w:rsidRPr="00777942" w:rsidRDefault="00533FC7" w:rsidP="00FC638A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Контроль додаткових плат керування та контролю, які входять до складу ДБЖ (сухі контакти, мережеве керування і </w:t>
            </w:r>
            <w:proofErr w:type="spellStart"/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т.д</w:t>
            </w:r>
            <w:proofErr w:type="spellEnd"/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.). При необхідності оновлення ревізій. </w:t>
            </w:r>
          </w:p>
        </w:tc>
      </w:tr>
      <w:tr w:rsidR="00533FC7" w:rsidRPr="00777942" w:rsidTr="00FC638A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7" w:rsidRPr="00777942" w:rsidRDefault="00533FC7" w:rsidP="00FC638A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7" w:rsidRPr="00777942" w:rsidRDefault="00533FC7" w:rsidP="00FC638A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Перевірка інфрачервоним термометром на предмет перегріву контактів які постійно знаходяться під напругою.</w:t>
            </w:r>
          </w:p>
        </w:tc>
      </w:tr>
      <w:tr w:rsidR="00533FC7" w:rsidRPr="00777942" w:rsidTr="00FC638A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7" w:rsidRPr="00777942" w:rsidRDefault="00533FC7" w:rsidP="00FC638A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C7" w:rsidRPr="00777942" w:rsidRDefault="00533FC7" w:rsidP="00FC638A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Скидання(</w:t>
            </w:r>
            <w:proofErr w:type="spellStart"/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обнулення</w:t>
            </w:r>
            <w:proofErr w:type="spellEnd"/>
            <w:r w:rsidRPr="007779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) даних журналів подій </w:t>
            </w:r>
          </w:p>
        </w:tc>
      </w:tr>
    </w:tbl>
    <w:p w:rsidR="00533FC7" w:rsidRDefault="00533FC7" w:rsidP="00533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FC7" w:rsidRPr="00FD0EDA" w:rsidRDefault="00533FC7" w:rsidP="00533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0EDA">
        <w:rPr>
          <w:rFonts w:ascii="Times New Roman" w:eastAsia="Times New Roman" w:hAnsi="Times New Roman" w:cs="Times New Roman"/>
          <w:sz w:val="24"/>
          <w:szCs w:val="24"/>
        </w:rPr>
        <w:t>Перелік обладнання систем безперебійного живлення ОЦОД та РЦОД</w:t>
      </w:r>
    </w:p>
    <w:p w:rsidR="00533FC7" w:rsidRPr="00777942" w:rsidRDefault="00533FC7" w:rsidP="00533FC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567"/>
        <w:gridCol w:w="283"/>
        <w:gridCol w:w="4536"/>
      </w:tblGrid>
      <w:tr w:rsidR="00533FC7" w:rsidRPr="00FD0EDA" w:rsidTr="00FC638A">
        <w:trPr>
          <w:trHeight w:val="20"/>
        </w:trPr>
        <w:tc>
          <w:tcPr>
            <w:tcW w:w="567" w:type="dxa"/>
            <w:shd w:val="clear" w:color="auto" w:fill="E7E6E6" w:themeFill="background2"/>
          </w:tcPr>
          <w:p w:rsidR="00533FC7" w:rsidRPr="00FD0EDA" w:rsidRDefault="00533FC7" w:rsidP="00FC63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EDA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828" w:type="dxa"/>
            <w:shd w:val="clear" w:color="auto" w:fill="E7E6E6" w:themeFill="background2"/>
            <w:vAlign w:val="center"/>
          </w:tcPr>
          <w:p w:rsidR="00533FC7" w:rsidRPr="00FD0EDA" w:rsidRDefault="00533FC7" w:rsidP="00FC63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 обладнання</w:t>
            </w:r>
          </w:p>
        </w:tc>
        <w:tc>
          <w:tcPr>
            <w:tcW w:w="567" w:type="dxa"/>
            <w:shd w:val="clear" w:color="auto" w:fill="E7E6E6" w:themeFill="background2"/>
          </w:tcPr>
          <w:p w:rsidR="00533FC7" w:rsidRPr="00FD0EDA" w:rsidRDefault="00533FC7" w:rsidP="00FC63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EDA">
              <w:rPr>
                <w:rFonts w:ascii="Times New Roman" w:hAnsi="Times New Roman" w:cs="Times New Roman"/>
                <w:sz w:val="20"/>
                <w:szCs w:val="20"/>
              </w:rPr>
              <w:t xml:space="preserve">К-ть </w:t>
            </w:r>
          </w:p>
        </w:tc>
        <w:tc>
          <w:tcPr>
            <w:tcW w:w="283" w:type="dxa"/>
            <w:shd w:val="clear" w:color="auto" w:fill="E7E6E6" w:themeFill="background2"/>
            <w:vAlign w:val="center"/>
          </w:tcPr>
          <w:p w:rsidR="00533FC7" w:rsidRPr="00FD0EDA" w:rsidRDefault="00533FC7" w:rsidP="00FC63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:rsidR="00533FC7" w:rsidRPr="00FD0EDA" w:rsidRDefault="00533FC7" w:rsidP="00FC63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 розташування обладнання</w:t>
            </w:r>
          </w:p>
        </w:tc>
      </w:tr>
      <w:tr w:rsidR="00533FC7" w:rsidRPr="00777942" w:rsidTr="00FC638A">
        <w:trPr>
          <w:trHeight w:val="20"/>
        </w:trPr>
        <w:tc>
          <w:tcPr>
            <w:tcW w:w="567" w:type="dxa"/>
          </w:tcPr>
          <w:p w:rsidR="00533FC7" w:rsidRPr="00777942" w:rsidRDefault="00533FC7" w:rsidP="00FC63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noWrap/>
            <w:vAlign w:val="center"/>
          </w:tcPr>
          <w:p w:rsidR="00533FC7" w:rsidRPr="00777942" w:rsidRDefault="00533FC7" w:rsidP="00FC63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42">
              <w:rPr>
                <w:rFonts w:ascii="Times New Roman" w:hAnsi="Times New Roman" w:cs="Times New Roman"/>
                <w:sz w:val="20"/>
                <w:szCs w:val="20"/>
              </w:rPr>
              <w:t xml:space="preserve">Джерело безперебійного живлення APC </w:t>
            </w:r>
            <w:proofErr w:type="spellStart"/>
            <w:r w:rsidRPr="00777942">
              <w:rPr>
                <w:rFonts w:ascii="Times New Roman" w:hAnsi="Times New Roman" w:cs="Times New Roman"/>
                <w:sz w:val="20"/>
                <w:szCs w:val="20"/>
              </w:rPr>
              <w:t>Symmetra</w:t>
            </w:r>
            <w:proofErr w:type="spellEnd"/>
            <w:r w:rsidRPr="00777942">
              <w:rPr>
                <w:rFonts w:ascii="Times New Roman" w:hAnsi="Times New Roman" w:cs="Times New Roman"/>
                <w:sz w:val="20"/>
                <w:szCs w:val="20"/>
              </w:rPr>
              <w:t xml:space="preserve"> PX 96kW </w:t>
            </w:r>
            <w:proofErr w:type="spellStart"/>
            <w:r w:rsidRPr="00777942">
              <w:rPr>
                <w:rFonts w:ascii="Times New Roman" w:hAnsi="Times New Roman" w:cs="Times New Roman"/>
                <w:sz w:val="20"/>
                <w:szCs w:val="20"/>
              </w:rPr>
              <w:t>Scalableto</w:t>
            </w:r>
            <w:proofErr w:type="spellEnd"/>
            <w:r w:rsidRPr="00777942">
              <w:rPr>
                <w:rFonts w:ascii="Times New Roman" w:hAnsi="Times New Roman" w:cs="Times New Roman"/>
                <w:sz w:val="20"/>
                <w:szCs w:val="20"/>
              </w:rPr>
              <w:t xml:space="preserve"> 160kW, 400V з шафою на 9 батарейних модулів</w:t>
            </w:r>
          </w:p>
        </w:tc>
        <w:tc>
          <w:tcPr>
            <w:tcW w:w="567" w:type="dxa"/>
            <w:vAlign w:val="center"/>
          </w:tcPr>
          <w:p w:rsidR="00533FC7" w:rsidRPr="00777942" w:rsidRDefault="00533FC7" w:rsidP="00FC63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noWrap/>
            <w:vAlign w:val="center"/>
          </w:tcPr>
          <w:p w:rsidR="00533FC7" w:rsidRPr="00777942" w:rsidRDefault="00533FC7" w:rsidP="00FC638A">
            <w:pPr>
              <w:pStyle w:val="xfmc1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noWrap/>
          </w:tcPr>
          <w:p w:rsidR="00533FC7" w:rsidRPr="00777942" w:rsidRDefault="00533FC7" w:rsidP="00FC63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вул. Народного Ополчення, 3 літ. "Б"  ОЦОД</w:t>
            </w:r>
          </w:p>
        </w:tc>
      </w:tr>
      <w:tr w:rsidR="00533FC7" w:rsidRPr="00777942" w:rsidTr="00FC638A">
        <w:trPr>
          <w:trHeight w:val="20"/>
        </w:trPr>
        <w:tc>
          <w:tcPr>
            <w:tcW w:w="567" w:type="dxa"/>
          </w:tcPr>
          <w:p w:rsidR="00533FC7" w:rsidRPr="00777942" w:rsidRDefault="00533FC7" w:rsidP="00FC63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noWrap/>
          </w:tcPr>
          <w:p w:rsidR="00533FC7" w:rsidRPr="00777942" w:rsidRDefault="00533FC7" w:rsidP="00FC638A">
            <w:pPr>
              <w:rPr>
                <w:rFonts w:ascii="Times New Roman" w:hAnsi="Times New Roman" w:cs="Times New Roman"/>
              </w:rPr>
            </w:pPr>
            <w:r w:rsidRPr="00777942">
              <w:rPr>
                <w:rFonts w:ascii="Times New Roman" w:hAnsi="Times New Roman" w:cs="Times New Roman"/>
                <w:sz w:val="20"/>
                <w:szCs w:val="20"/>
              </w:rPr>
              <w:t xml:space="preserve">Джерело безперебійного живлення APC </w:t>
            </w:r>
            <w:proofErr w:type="spellStart"/>
            <w:r w:rsidRPr="00777942">
              <w:rPr>
                <w:rFonts w:ascii="Times New Roman" w:hAnsi="Times New Roman" w:cs="Times New Roman"/>
                <w:sz w:val="20"/>
                <w:szCs w:val="20"/>
              </w:rPr>
              <w:t>Symmetra</w:t>
            </w:r>
            <w:proofErr w:type="spellEnd"/>
            <w:r w:rsidRPr="00777942">
              <w:rPr>
                <w:rFonts w:ascii="Times New Roman" w:hAnsi="Times New Roman" w:cs="Times New Roman"/>
                <w:sz w:val="20"/>
                <w:szCs w:val="20"/>
              </w:rPr>
              <w:t xml:space="preserve"> PX 96kW </w:t>
            </w:r>
            <w:proofErr w:type="spellStart"/>
            <w:r w:rsidRPr="00777942">
              <w:rPr>
                <w:rFonts w:ascii="Times New Roman" w:hAnsi="Times New Roman" w:cs="Times New Roman"/>
                <w:sz w:val="20"/>
                <w:szCs w:val="20"/>
              </w:rPr>
              <w:t>Scalableto</w:t>
            </w:r>
            <w:proofErr w:type="spellEnd"/>
            <w:r w:rsidRPr="00777942">
              <w:rPr>
                <w:rFonts w:ascii="Times New Roman" w:hAnsi="Times New Roman" w:cs="Times New Roman"/>
                <w:sz w:val="20"/>
                <w:szCs w:val="20"/>
              </w:rPr>
              <w:t xml:space="preserve"> 160kW, 400V з шафою на 9 батарейних модулів</w:t>
            </w:r>
          </w:p>
        </w:tc>
        <w:tc>
          <w:tcPr>
            <w:tcW w:w="567" w:type="dxa"/>
            <w:vAlign w:val="center"/>
          </w:tcPr>
          <w:p w:rsidR="00533FC7" w:rsidRPr="00777942" w:rsidRDefault="00533FC7" w:rsidP="00FC63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noWrap/>
            <w:vAlign w:val="center"/>
          </w:tcPr>
          <w:p w:rsidR="00533FC7" w:rsidRPr="00777942" w:rsidRDefault="00533FC7" w:rsidP="00FC63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noWrap/>
          </w:tcPr>
          <w:p w:rsidR="00533FC7" w:rsidRPr="00777942" w:rsidRDefault="00533FC7" w:rsidP="00FC63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вул. Народного Ополчення, 3 літ. "Б"  ОЦОД</w:t>
            </w:r>
          </w:p>
        </w:tc>
      </w:tr>
      <w:tr w:rsidR="00533FC7" w:rsidRPr="00777942" w:rsidTr="00FC638A">
        <w:trPr>
          <w:trHeight w:val="20"/>
        </w:trPr>
        <w:tc>
          <w:tcPr>
            <w:tcW w:w="567" w:type="dxa"/>
          </w:tcPr>
          <w:p w:rsidR="00533FC7" w:rsidRPr="00777942" w:rsidRDefault="00533FC7" w:rsidP="00FC63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  <w:noWrap/>
          </w:tcPr>
          <w:p w:rsidR="00533FC7" w:rsidRPr="00777942" w:rsidRDefault="00533FC7" w:rsidP="00FC638A">
            <w:pPr>
              <w:rPr>
                <w:rFonts w:ascii="Times New Roman" w:hAnsi="Times New Roman" w:cs="Times New Roman"/>
              </w:rPr>
            </w:pPr>
            <w:r w:rsidRPr="00777942">
              <w:rPr>
                <w:rFonts w:ascii="Times New Roman" w:hAnsi="Times New Roman" w:cs="Times New Roman"/>
                <w:sz w:val="20"/>
                <w:szCs w:val="20"/>
              </w:rPr>
              <w:t xml:space="preserve">Джерело безперебійного живлення APC </w:t>
            </w:r>
            <w:proofErr w:type="spellStart"/>
            <w:r w:rsidRPr="00777942">
              <w:rPr>
                <w:rFonts w:ascii="Times New Roman" w:hAnsi="Times New Roman" w:cs="Times New Roman"/>
                <w:sz w:val="20"/>
                <w:szCs w:val="20"/>
              </w:rPr>
              <w:t>Symmetra</w:t>
            </w:r>
            <w:proofErr w:type="spellEnd"/>
            <w:r w:rsidRPr="00777942">
              <w:rPr>
                <w:rFonts w:ascii="Times New Roman" w:hAnsi="Times New Roman" w:cs="Times New Roman"/>
                <w:sz w:val="20"/>
                <w:szCs w:val="20"/>
              </w:rPr>
              <w:t xml:space="preserve"> PX 96kW </w:t>
            </w:r>
            <w:proofErr w:type="spellStart"/>
            <w:r w:rsidRPr="00777942">
              <w:rPr>
                <w:rFonts w:ascii="Times New Roman" w:hAnsi="Times New Roman" w:cs="Times New Roman"/>
                <w:sz w:val="20"/>
                <w:szCs w:val="20"/>
              </w:rPr>
              <w:t>Scalableto</w:t>
            </w:r>
            <w:proofErr w:type="spellEnd"/>
            <w:r w:rsidRPr="00777942">
              <w:rPr>
                <w:rFonts w:ascii="Times New Roman" w:hAnsi="Times New Roman" w:cs="Times New Roman"/>
                <w:sz w:val="20"/>
                <w:szCs w:val="20"/>
              </w:rPr>
              <w:t xml:space="preserve"> 160kW, 400V з шафою на 9 батарейних модулів</w:t>
            </w:r>
          </w:p>
        </w:tc>
        <w:tc>
          <w:tcPr>
            <w:tcW w:w="567" w:type="dxa"/>
            <w:vAlign w:val="center"/>
          </w:tcPr>
          <w:p w:rsidR="00533FC7" w:rsidRPr="00777942" w:rsidRDefault="00533FC7" w:rsidP="00FC63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noWrap/>
            <w:vAlign w:val="center"/>
          </w:tcPr>
          <w:p w:rsidR="00533FC7" w:rsidRPr="00777942" w:rsidRDefault="00533FC7" w:rsidP="00FC63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9FCFF"/>
              </w:rPr>
            </w:pPr>
          </w:p>
        </w:tc>
        <w:tc>
          <w:tcPr>
            <w:tcW w:w="4536" w:type="dxa"/>
            <w:noWrap/>
          </w:tcPr>
          <w:p w:rsidR="00533FC7" w:rsidRPr="00777942" w:rsidRDefault="00533FC7" w:rsidP="00FC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Яготин, вул. Незалежності, 108.</w:t>
            </w:r>
          </w:p>
          <w:p w:rsidR="00533FC7" w:rsidRPr="00777942" w:rsidRDefault="00533FC7" w:rsidP="00FC63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РЦОД</w:t>
            </w:r>
          </w:p>
        </w:tc>
      </w:tr>
    </w:tbl>
    <w:p w:rsidR="00533FC7" w:rsidRDefault="00533FC7" w:rsidP="00533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3FC7" w:rsidRDefault="00533FC7" w:rsidP="00533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0EDA">
        <w:rPr>
          <w:rFonts w:ascii="Times New Roman" w:eastAsia="Times New Roman" w:hAnsi="Times New Roman" w:cs="Times New Roman"/>
          <w:sz w:val="24"/>
          <w:szCs w:val="24"/>
        </w:rPr>
        <w:t>Якісні вимоги про  відповідність кваліфікаційним критеріям Виконавця.</w:t>
      </w:r>
    </w:p>
    <w:p w:rsidR="00533FC7" w:rsidRPr="00FD0EDA" w:rsidRDefault="00533FC7" w:rsidP="00533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3FC7" w:rsidRDefault="00533FC7" w:rsidP="00533F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підтвердження кваліфікації, Виконавець повинен надати наступну </w:t>
      </w:r>
      <w:r w:rsidRPr="00F95BD8">
        <w:rPr>
          <w:rFonts w:ascii="Times New Roman" w:hAnsi="Times New Roman" w:cs="Times New Roman"/>
        </w:rPr>
        <w:t>документально підтверджен</w:t>
      </w:r>
      <w:r>
        <w:rPr>
          <w:rFonts w:ascii="Times New Roman" w:hAnsi="Times New Roman" w:cs="Times New Roman"/>
        </w:rPr>
        <w:t>у</w:t>
      </w:r>
      <w:r w:rsidRPr="00F95BD8">
        <w:rPr>
          <w:rFonts w:ascii="Times New Roman" w:hAnsi="Times New Roman" w:cs="Times New Roman"/>
        </w:rPr>
        <w:t xml:space="preserve"> інформац</w:t>
      </w:r>
      <w:r>
        <w:rPr>
          <w:rFonts w:ascii="Times New Roman" w:hAnsi="Times New Roman" w:cs="Times New Roman"/>
        </w:rPr>
        <w:t>ію:</w:t>
      </w:r>
      <w:r w:rsidRPr="00F95BD8">
        <w:rPr>
          <w:rFonts w:ascii="Times New Roman" w:hAnsi="Times New Roman" w:cs="Times New Roman"/>
        </w:rPr>
        <w:t xml:space="preserve"> </w:t>
      </w:r>
    </w:p>
    <w:p w:rsidR="00533FC7" w:rsidRPr="00661DD6" w:rsidRDefault="00533FC7" w:rsidP="00533FC7">
      <w:pPr>
        <w:jc w:val="both"/>
        <w:rPr>
          <w:rFonts w:ascii="Times New Roman" w:hAnsi="Times New Roman" w:cs="Times New Roman"/>
        </w:rPr>
      </w:pPr>
      <w:r w:rsidRPr="00661DD6">
        <w:rPr>
          <w:rFonts w:ascii="Times New Roman" w:hAnsi="Times New Roman" w:cs="Times New Roman"/>
        </w:rPr>
        <w:t>- довідку про те, що послуги за предметом закупівлі надаватимуться сертифікованими інженерами виробника обладнання або його офіційного представника в Україні, на підтвердження чого Учасником перед початком надання послуг Замовнику буде надано оригінал довідки, виданої виробником обладнання або його офіційним представником в Україні, із зазначення інформації про прізвище, ім’я та по-батькові сертифікованих інженерів виробника обладнання або його офіційного представника в Україні, їх посади/кваліфікації, дати видачі сертифікатів, інформації про взаємовідносини з Учасником (штатний працівник (в тому числі сумісник) або працівник, що працює за цивільно-правовим договором);</w:t>
      </w:r>
    </w:p>
    <w:p w:rsidR="00533FC7" w:rsidRPr="00661DD6" w:rsidRDefault="00533FC7" w:rsidP="00533FC7">
      <w:pPr>
        <w:jc w:val="both"/>
        <w:rPr>
          <w:rFonts w:ascii="Times New Roman" w:hAnsi="Times New Roman" w:cs="Times New Roman"/>
        </w:rPr>
      </w:pPr>
      <w:r w:rsidRPr="00661DD6">
        <w:rPr>
          <w:rFonts w:ascii="Times New Roman" w:hAnsi="Times New Roman" w:cs="Times New Roman"/>
        </w:rPr>
        <w:t xml:space="preserve">- оригінал або засвідчену Учасником копію партнерського сертифікату або іншого документу, виданого безпосередньо Учаснику на цю закупівлю від виробника джерела безперебійного живлення APC </w:t>
      </w:r>
      <w:proofErr w:type="spellStart"/>
      <w:r w:rsidRPr="00661DD6">
        <w:rPr>
          <w:rFonts w:ascii="Times New Roman" w:hAnsi="Times New Roman" w:cs="Times New Roman"/>
        </w:rPr>
        <w:t>Symmetra</w:t>
      </w:r>
      <w:proofErr w:type="spellEnd"/>
      <w:r w:rsidRPr="00661DD6">
        <w:rPr>
          <w:rFonts w:ascii="Times New Roman" w:hAnsi="Times New Roman" w:cs="Times New Roman"/>
        </w:rPr>
        <w:t xml:space="preserve"> PX 96kW </w:t>
      </w:r>
      <w:proofErr w:type="spellStart"/>
      <w:r w:rsidRPr="00661DD6">
        <w:rPr>
          <w:rFonts w:ascii="Times New Roman" w:hAnsi="Times New Roman" w:cs="Times New Roman"/>
        </w:rPr>
        <w:t>Scalableto</w:t>
      </w:r>
      <w:proofErr w:type="spellEnd"/>
      <w:r w:rsidRPr="00661DD6">
        <w:rPr>
          <w:rFonts w:ascii="Times New Roman" w:hAnsi="Times New Roman" w:cs="Times New Roman"/>
        </w:rPr>
        <w:t xml:space="preserve"> 160kW, 400V або його офіційного представника в Україні, який підтверджує, що Учасник є зареєстрованим партнером виробника джерела безперебійного живлення APC </w:t>
      </w:r>
      <w:proofErr w:type="spellStart"/>
      <w:r w:rsidRPr="00661DD6">
        <w:rPr>
          <w:rFonts w:ascii="Times New Roman" w:hAnsi="Times New Roman" w:cs="Times New Roman"/>
        </w:rPr>
        <w:t>Symmetra</w:t>
      </w:r>
      <w:proofErr w:type="spellEnd"/>
      <w:r w:rsidRPr="00661DD6">
        <w:rPr>
          <w:rFonts w:ascii="Times New Roman" w:hAnsi="Times New Roman" w:cs="Times New Roman"/>
        </w:rPr>
        <w:t xml:space="preserve"> PX 96kW </w:t>
      </w:r>
      <w:proofErr w:type="spellStart"/>
      <w:r w:rsidRPr="00661DD6">
        <w:rPr>
          <w:rFonts w:ascii="Times New Roman" w:hAnsi="Times New Roman" w:cs="Times New Roman"/>
        </w:rPr>
        <w:t>Scalableto</w:t>
      </w:r>
      <w:proofErr w:type="spellEnd"/>
      <w:r w:rsidRPr="00661DD6">
        <w:rPr>
          <w:rFonts w:ascii="Times New Roman" w:hAnsi="Times New Roman" w:cs="Times New Roman"/>
        </w:rPr>
        <w:t xml:space="preserve"> 160kW, 400V або його офіційного представника в Україні, зі статусом не нижче ніж </w:t>
      </w:r>
      <w:proofErr w:type="spellStart"/>
      <w:r w:rsidRPr="00661DD6">
        <w:rPr>
          <w:rFonts w:ascii="Times New Roman" w:hAnsi="Times New Roman" w:cs="Times New Roman"/>
        </w:rPr>
        <w:t>Select</w:t>
      </w:r>
      <w:proofErr w:type="spellEnd"/>
      <w:r w:rsidRPr="00661DD6">
        <w:rPr>
          <w:rFonts w:ascii="Times New Roman" w:hAnsi="Times New Roman" w:cs="Times New Roman"/>
        </w:rPr>
        <w:t xml:space="preserve"> </w:t>
      </w:r>
      <w:proofErr w:type="spellStart"/>
      <w:r w:rsidRPr="00661DD6">
        <w:rPr>
          <w:rFonts w:ascii="Times New Roman" w:hAnsi="Times New Roman" w:cs="Times New Roman"/>
        </w:rPr>
        <w:t>Partner</w:t>
      </w:r>
      <w:proofErr w:type="spellEnd"/>
      <w:r w:rsidRPr="00661DD6">
        <w:rPr>
          <w:rFonts w:ascii="Times New Roman" w:hAnsi="Times New Roman" w:cs="Times New Roman"/>
        </w:rPr>
        <w:t>;</w:t>
      </w:r>
    </w:p>
    <w:p w:rsidR="00533FC7" w:rsidRPr="00661DD6" w:rsidRDefault="00533FC7" w:rsidP="00533FC7">
      <w:pPr>
        <w:jc w:val="both"/>
        <w:rPr>
          <w:rFonts w:ascii="Times New Roman" w:hAnsi="Times New Roman" w:cs="Times New Roman"/>
        </w:rPr>
      </w:pPr>
      <w:r w:rsidRPr="00661DD6">
        <w:rPr>
          <w:rFonts w:ascii="Times New Roman" w:hAnsi="Times New Roman" w:cs="Times New Roman"/>
        </w:rPr>
        <w:t xml:space="preserve">- оригінал або засвідчену Учасником належним чином копію </w:t>
      </w:r>
      <w:proofErr w:type="spellStart"/>
      <w:r w:rsidRPr="00661DD6">
        <w:rPr>
          <w:rFonts w:ascii="Times New Roman" w:hAnsi="Times New Roman" w:cs="Times New Roman"/>
        </w:rPr>
        <w:t>авторизаційного</w:t>
      </w:r>
      <w:proofErr w:type="spellEnd"/>
      <w:r w:rsidRPr="00661DD6">
        <w:rPr>
          <w:rFonts w:ascii="Times New Roman" w:hAnsi="Times New Roman" w:cs="Times New Roman"/>
        </w:rPr>
        <w:t xml:space="preserve"> листа або іншого документу, виданого безпосередньо Учаснику на цю закупівлю від виробника джерела безперебійного живлення APC </w:t>
      </w:r>
      <w:proofErr w:type="spellStart"/>
      <w:r w:rsidRPr="00661DD6">
        <w:rPr>
          <w:rFonts w:ascii="Times New Roman" w:hAnsi="Times New Roman" w:cs="Times New Roman"/>
        </w:rPr>
        <w:t>Symmetra</w:t>
      </w:r>
      <w:proofErr w:type="spellEnd"/>
      <w:r w:rsidRPr="00661DD6">
        <w:rPr>
          <w:rFonts w:ascii="Times New Roman" w:hAnsi="Times New Roman" w:cs="Times New Roman"/>
        </w:rPr>
        <w:t xml:space="preserve"> PX 96kW </w:t>
      </w:r>
      <w:proofErr w:type="spellStart"/>
      <w:r w:rsidRPr="00661DD6">
        <w:rPr>
          <w:rFonts w:ascii="Times New Roman" w:hAnsi="Times New Roman" w:cs="Times New Roman"/>
        </w:rPr>
        <w:t>Scalableto</w:t>
      </w:r>
      <w:proofErr w:type="spellEnd"/>
      <w:r w:rsidRPr="00661DD6">
        <w:rPr>
          <w:rFonts w:ascii="Times New Roman" w:hAnsi="Times New Roman" w:cs="Times New Roman"/>
        </w:rPr>
        <w:t xml:space="preserve"> 160kW, 400V або його офіційного представника в Україні про те, що послуги за предметом закупівлі виконуватимуться сертифікованими інженерами виробника обладнання або його офіційного представника в Україні;</w:t>
      </w:r>
    </w:p>
    <w:p w:rsidR="00533FC7" w:rsidRDefault="00533FC7" w:rsidP="00533FC7">
      <w:pPr>
        <w:jc w:val="both"/>
        <w:rPr>
          <w:rFonts w:ascii="Times New Roman" w:hAnsi="Times New Roman" w:cs="Times New Roman"/>
        </w:rPr>
      </w:pPr>
      <w:r w:rsidRPr="00661DD6">
        <w:rPr>
          <w:rFonts w:ascii="Times New Roman" w:hAnsi="Times New Roman" w:cs="Times New Roman"/>
        </w:rPr>
        <w:t xml:space="preserve">- оригінали або засвідчені належним чином копії сертифікатів інженерів (які будуть задіяні при наданні послуг за предметом закупівлі), видані виробником джерела безперебійного живлення APC </w:t>
      </w:r>
      <w:proofErr w:type="spellStart"/>
      <w:r w:rsidRPr="00661DD6">
        <w:rPr>
          <w:rFonts w:ascii="Times New Roman" w:hAnsi="Times New Roman" w:cs="Times New Roman"/>
        </w:rPr>
        <w:t>Symmetra</w:t>
      </w:r>
      <w:proofErr w:type="spellEnd"/>
      <w:r w:rsidRPr="00661DD6">
        <w:rPr>
          <w:rFonts w:ascii="Times New Roman" w:hAnsi="Times New Roman" w:cs="Times New Roman"/>
        </w:rPr>
        <w:t xml:space="preserve"> PX 96kW </w:t>
      </w:r>
      <w:proofErr w:type="spellStart"/>
      <w:r w:rsidRPr="00661DD6">
        <w:rPr>
          <w:rFonts w:ascii="Times New Roman" w:hAnsi="Times New Roman" w:cs="Times New Roman"/>
        </w:rPr>
        <w:t>Scalableto</w:t>
      </w:r>
      <w:proofErr w:type="spellEnd"/>
      <w:r w:rsidRPr="00661DD6">
        <w:rPr>
          <w:rFonts w:ascii="Times New Roman" w:hAnsi="Times New Roman" w:cs="Times New Roman"/>
        </w:rPr>
        <w:t xml:space="preserve"> 160kW, 400V або його офіційного представника в Україні.</w: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533FC7" w:rsidRPr="00FD0EDA" w:rsidTr="00FC638A">
        <w:trPr>
          <w:trHeight w:val="19"/>
        </w:trPr>
        <w:tc>
          <w:tcPr>
            <w:tcW w:w="9781" w:type="dxa"/>
          </w:tcPr>
          <w:p w:rsidR="00533FC7" w:rsidRDefault="00533FC7" w:rsidP="00FC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Провідний</w:t>
            </w:r>
            <w:r w:rsidRPr="00196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інженер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відділу</w:t>
            </w:r>
          </w:p>
          <w:p w:rsidR="00533FC7" w:rsidRPr="00196709" w:rsidRDefault="00533FC7" w:rsidP="00FC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головного інженера</w:t>
            </w:r>
            <w:r w:rsidRPr="0019670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адміністрування</w:t>
            </w:r>
            <w:r w:rsidRPr="0019670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19670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19670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19670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19670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533FC7" w:rsidRPr="002541A2" w:rsidRDefault="00533FC7" w:rsidP="00FC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196709">
              <w:rPr>
                <w:rFonts w:ascii="Times New Roman" w:eastAsia="Calibri" w:hAnsi="Times New Roman" w:cs="Times New Roman"/>
                <w:sz w:val="28"/>
                <w:szCs w:val="28"/>
              </w:rPr>
              <w:t>ержавного земельного кадастру</w:t>
            </w:r>
            <w:r w:rsidRPr="00931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Володимир САЄНКО</w:t>
            </w:r>
            <w:r w:rsidRPr="00196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33FC7" w:rsidRPr="00FD0EDA" w:rsidRDefault="00533FC7" w:rsidP="00533FC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C0B" w:rsidRDefault="00533FC7"/>
    <w:sectPr w:rsidR="009F5C0B" w:rsidSect="00FD0EDA">
      <w:pgSz w:w="11906" w:h="16838"/>
      <w:pgMar w:top="426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A478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D6A310C"/>
    <w:multiLevelType w:val="hybridMultilevel"/>
    <w:tmpl w:val="C1185600"/>
    <w:lvl w:ilvl="0" w:tplc="D41E3F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C7"/>
    <w:rsid w:val="00533FC7"/>
    <w:rsid w:val="00A63593"/>
    <w:rsid w:val="00D6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1096D-BFAA-4A2D-BCB1-F4CE9BBA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FC7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53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L.Klimenko</dc:creator>
  <cp:keywords/>
  <dc:description/>
  <cp:lastModifiedBy>L.Klimenko</cp:lastModifiedBy>
  <cp:revision>1</cp:revision>
  <dcterms:created xsi:type="dcterms:W3CDTF">2022-09-08T14:54:00Z</dcterms:created>
  <dcterms:modified xsi:type="dcterms:W3CDTF">2022-09-08T14:55:00Z</dcterms:modified>
</cp:coreProperties>
</file>