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1E" w:rsidRDefault="00592B69">
      <w:pPr>
        <w:pStyle w:val="HTML"/>
        <w:jc w:val="right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Додаток№2</w:t>
      </w:r>
    </w:p>
    <w:p w:rsidR="00AF701E" w:rsidRDefault="00AF701E">
      <w:pPr>
        <w:pStyle w:val="HTML"/>
        <w:rPr>
          <w:rFonts w:ascii="Times New Roman" w:hAnsi="Times New Roman"/>
          <w:bCs/>
          <w:lang w:val="uk-UA"/>
        </w:rPr>
      </w:pPr>
    </w:p>
    <w:p w:rsidR="00AF701E" w:rsidRDefault="00592B69">
      <w:pPr>
        <w:pStyle w:val="HTML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Учасник  не  повинен відступати від                                                                                                                                        </w:t>
      </w:r>
    </w:p>
    <w:p w:rsidR="00AF701E" w:rsidRDefault="00592B69">
      <w:pPr>
        <w:pStyle w:val="HTML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наданої форми. Відхилення від вимог форми є</w:t>
      </w:r>
    </w:p>
    <w:p w:rsidR="00AF701E" w:rsidRDefault="00592B69">
      <w:pPr>
        <w:pStyle w:val="HTML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підставою для відхилення пропозиції</w:t>
      </w:r>
    </w:p>
    <w:p w:rsidR="00AF701E" w:rsidRDefault="00592B69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цінової пропозиції</w:t>
      </w:r>
    </w:p>
    <w:p w:rsidR="00AF701E" w:rsidRDefault="00592B69">
      <w:pPr>
        <w:pStyle w:val="Standard"/>
        <w:jc w:val="center"/>
      </w:pPr>
      <w:r>
        <w:rPr>
          <w:rFonts w:ascii="Rockwell Extra Bold" w:hAnsi="Rockwell Extra Bold"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загалом, або окремо по кожному найменуванню</w:t>
      </w:r>
      <w:r>
        <w:rPr>
          <w:rFonts w:ascii="Rockwell Extra Bold" w:hAnsi="Rockwell Extra Bold"/>
          <w:sz w:val="28"/>
          <w:szCs w:val="28"/>
          <w:lang w:val="uk-UA"/>
        </w:rPr>
        <w:t>)</w:t>
      </w:r>
    </w:p>
    <w:p w:rsidR="00AF701E" w:rsidRDefault="00592B69">
      <w:pPr>
        <w:pStyle w:val="Standard"/>
      </w:pPr>
      <w:r>
        <w:rPr>
          <w:lang w:val="uk-UA"/>
        </w:rPr>
        <w:t xml:space="preserve">Ми, (назва Учасника), надаємо свою пропозицію щодо участі у спрощеної закупівлі  на закупівлю </w:t>
      </w:r>
      <w:r w:rsidR="00BC5FAC">
        <w:rPr>
          <w:lang w:val="uk-UA"/>
        </w:rPr>
        <w:t>«Послуги з ремонту і технічного обслуговування техніки»</w:t>
      </w:r>
      <w:r w:rsidR="00BC5FAC" w:rsidRPr="000B1D1C">
        <w:rPr>
          <w:lang w:val="uk-UA"/>
        </w:rPr>
        <w:t xml:space="preserve"> </w:t>
      </w:r>
      <w:r w:rsidR="00BC5FAC">
        <w:rPr>
          <w:lang w:val="uk-UA"/>
        </w:rPr>
        <w:t>(п</w:t>
      </w:r>
      <w:r w:rsidR="00BC5FAC">
        <w:rPr>
          <w:rStyle w:val="af0"/>
          <w:lang w:val="uk-UA"/>
        </w:rPr>
        <w:t>ослуги з регламентного технічного обслуговування систем безперебійного живлення ОЦОД та РЦОД)</w:t>
      </w:r>
    </w:p>
    <w:p w:rsidR="00AF701E" w:rsidRDefault="00592B69">
      <w:pPr>
        <w:pStyle w:val="Standard"/>
        <w:rPr>
          <w:lang w:val="uk-UA"/>
        </w:rPr>
      </w:pPr>
      <w:r>
        <w:rPr>
          <w:lang w:val="uk-UA"/>
        </w:rPr>
        <w:t xml:space="preserve">Вивчивши документацію спрощеної закупівлі  та технічні </w:t>
      </w:r>
      <w:r w:rsidR="00E37CCB">
        <w:rPr>
          <w:lang w:val="uk-UA"/>
        </w:rPr>
        <w:t>умови</w:t>
      </w:r>
      <w:r>
        <w:rPr>
          <w:lang w:val="uk-UA"/>
        </w:rPr>
        <w:t xml:space="preserve"> (надалі Т</w:t>
      </w:r>
      <w:r w:rsidR="00E37CCB">
        <w:rPr>
          <w:lang w:val="uk-UA"/>
        </w:rPr>
        <w:t>У</w:t>
      </w:r>
      <w:r>
        <w:rPr>
          <w:lang w:val="uk-UA"/>
        </w:rPr>
        <w:t>), на виконання зазначеного вище, ми, уповноважені на підписання Договору, маємо можливість та погоджуємося виконати всі вимоги Замовника та Договору на умовах, зазначених у комерційній частині цієї пропозиції за наступними цінами:</w:t>
      </w:r>
    </w:p>
    <w:p w:rsidR="00AF701E" w:rsidRDefault="00592B69">
      <w:pPr>
        <w:pStyle w:val="Standard"/>
        <w:spacing w:line="240" w:lineRule="atLeast"/>
        <w:rPr>
          <w:lang w:val="uk-UA"/>
        </w:rPr>
      </w:pPr>
      <w:r>
        <w:rPr>
          <w:lang w:val="uk-UA"/>
        </w:rPr>
        <w:t>1. Повне найменування учасника, адреса:__________________________________________</w:t>
      </w:r>
    </w:p>
    <w:p w:rsidR="00AF701E" w:rsidRPr="00BB4544" w:rsidRDefault="00592B69">
      <w:pPr>
        <w:pStyle w:val="Standard"/>
        <w:spacing w:line="240" w:lineRule="atLeast"/>
        <w:rPr>
          <w:lang w:val="uk-UA"/>
        </w:rPr>
      </w:pPr>
      <w:r>
        <w:rPr>
          <w:lang w:val="uk-UA"/>
        </w:rPr>
        <w:t xml:space="preserve">1.1. </w:t>
      </w:r>
      <w:r>
        <w:rPr>
          <w:lang w:val="uk-UA" w:eastAsia="uk-UA"/>
        </w:rPr>
        <w:t>Місцезнаходження відповідно до даних Єдиного державного реєстру юридичних осіб та фізичних осіб-підприємців та фактичне місцезнаходження: ___________________________________________________________________________________</w:t>
      </w:r>
    </w:p>
    <w:p w:rsidR="00AF701E" w:rsidRDefault="00592B69">
      <w:pPr>
        <w:pStyle w:val="Standard"/>
        <w:pBdr>
          <w:bottom w:val="single" w:sz="4" w:space="1" w:color="000000"/>
        </w:pBdr>
        <w:spacing w:line="240" w:lineRule="atLeast"/>
        <w:rPr>
          <w:lang w:eastAsia="uk-UA"/>
        </w:rPr>
      </w:pPr>
      <w:r>
        <w:rPr>
          <w:lang w:eastAsia="uk-UA"/>
        </w:rPr>
        <w:t>1.2. Телефон/факс/електронна пошта____________________________________________</w:t>
      </w:r>
    </w:p>
    <w:p w:rsidR="00AF701E" w:rsidRDefault="00592B69">
      <w:pPr>
        <w:pStyle w:val="Standard"/>
        <w:pBdr>
          <w:bottom w:val="single" w:sz="4" w:space="1" w:color="000000"/>
        </w:pBdr>
        <w:spacing w:line="240" w:lineRule="atLeast"/>
        <w:rPr>
          <w:lang w:eastAsia="uk-UA"/>
        </w:rPr>
      </w:pPr>
      <w:r>
        <w:rPr>
          <w:lang w:eastAsia="uk-UA"/>
        </w:rPr>
        <w:t>1.3. Код ЄДРПОУ:___________________________________________________________</w:t>
      </w:r>
    </w:p>
    <w:p w:rsidR="00AF701E" w:rsidRDefault="00592B69">
      <w:pPr>
        <w:pStyle w:val="Standard"/>
        <w:pBdr>
          <w:bottom w:val="single" w:sz="4" w:space="1" w:color="000000"/>
        </w:pBdr>
        <w:spacing w:line="240" w:lineRule="atLeast"/>
        <w:jc w:val="both"/>
      </w:pPr>
      <w:r>
        <w:t xml:space="preserve">2.Найменування </w:t>
      </w:r>
      <w:r w:rsidR="00E37CCB">
        <w:rPr>
          <w:lang w:val="uk-UA"/>
        </w:rPr>
        <w:t>послуг</w:t>
      </w:r>
      <w:r>
        <w:t>____________________________________________________</w:t>
      </w:r>
    </w:p>
    <w:p w:rsidR="00AF701E" w:rsidRDefault="00592B69">
      <w:pPr>
        <w:pStyle w:val="Standard"/>
        <w:pBdr>
          <w:bottom w:val="single" w:sz="4" w:space="1" w:color="000000"/>
        </w:pBdr>
      </w:pPr>
      <w:r>
        <w:t>3.Загальна  вартість</w:t>
      </w:r>
      <w:r w:rsidR="00E37CCB">
        <w:rPr>
          <w:lang w:val="uk-UA"/>
        </w:rPr>
        <w:t xml:space="preserve"> з ПДВ</w:t>
      </w:r>
      <w:r>
        <w:t xml:space="preserve"> (прописом):_______________________________________________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647"/>
        <w:gridCol w:w="1416"/>
        <w:gridCol w:w="1431"/>
        <w:gridCol w:w="2114"/>
        <w:gridCol w:w="2080"/>
      </w:tblGrid>
      <w:tr w:rsidR="00AF701E" w:rsidRPr="00721684">
        <w:trPr>
          <w:trHeight w:val="38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1E" w:rsidRDefault="00592B69">
            <w:pPr>
              <w:pStyle w:val="Standard"/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1E" w:rsidRPr="0081036F" w:rsidRDefault="0081036F" w:rsidP="00721684">
            <w:pPr>
              <w:pStyle w:val="Standard"/>
              <w:widowControl w:val="0"/>
              <w:rPr>
                <w:b/>
                <w:color w:val="000000"/>
              </w:rPr>
            </w:pPr>
            <w:r w:rsidRPr="0081036F">
              <w:rPr>
                <w:rFonts w:eastAsia="Calibri"/>
                <w:b/>
                <w:lang w:val="uk-UA"/>
              </w:rPr>
              <w:t>Найменування складу послуг ОЦОД та РЦОД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1E" w:rsidRDefault="00592B69">
            <w:pPr>
              <w:pStyle w:val="Standard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Кіл-ть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1E" w:rsidRDefault="00592B69">
            <w:pPr>
              <w:pStyle w:val="Standard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Од. виміру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1E" w:rsidRDefault="00592B69" w:rsidP="00BC5FAC">
            <w:pPr>
              <w:pStyle w:val="Standard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Ціна за </w:t>
            </w:r>
            <w:r w:rsidR="00BC5FAC">
              <w:rPr>
                <w:b/>
                <w:color w:val="000000"/>
                <w:lang w:val="uk-UA"/>
              </w:rPr>
              <w:t xml:space="preserve">одиницю без </w:t>
            </w:r>
            <w:r>
              <w:rPr>
                <w:b/>
                <w:color w:val="000000"/>
              </w:rPr>
              <w:t>ПДВ, транспортування та всіх інших витрат, грн.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1E" w:rsidRDefault="00592B69">
            <w:pPr>
              <w:pStyle w:val="Standard"/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Вартість за найменуванням з врах. ПДВ, транспортування та всіх інших витрат, грн.</w:t>
            </w:r>
          </w:p>
        </w:tc>
      </w:tr>
      <w:tr w:rsidR="00AF701E" w:rsidRPr="00BC5FAC" w:rsidTr="00BB4544">
        <w:trPr>
          <w:trHeight w:val="4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1E" w:rsidRPr="00721684" w:rsidRDefault="00592B69">
            <w:pPr>
              <w:pStyle w:val="a7"/>
              <w:widowControl w:val="0"/>
              <w:tabs>
                <w:tab w:val="left" w:pos="720"/>
                <w:tab w:val="left" w:pos="7088"/>
              </w:tabs>
              <w:jc w:val="center"/>
            </w:pPr>
            <w:r w:rsidRPr="00721684"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1E" w:rsidRPr="00721684" w:rsidRDefault="00BC5FAC">
            <w:pPr>
              <w:pStyle w:val="Standard"/>
              <w:widowControl w:val="0"/>
              <w:jc w:val="both"/>
              <w:rPr>
                <w:b/>
                <w:bCs/>
                <w:color w:val="000000"/>
                <w:lang w:val="uk-UA"/>
              </w:rPr>
            </w:pPr>
            <w:r w:rsidRPr="00721684">
              <w:t>Проведення регламентного технічного обслуговування систем безперебійного живлення Основного центру обробки даних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1E" w:rsidRPr="00721684" w:rsidRDefault="00BC5FAC" w:rsidP="00BC5FAC">
            <w:pPr>
              <w:jc w:val="center"/>
              <w:rPr>
                <w:lang w:val="ru-RU" w:eastAsia="ru-RU"/>
              </w:rPr>
            </w:pPr>
            <w:r w:rsidRPr="00721684">
              <w:rPr>
                <w:lang w:val="ru-RU"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1E" w:rsidRDefault="00AF701E" w:rsidP="00BB4544">
            <w:pPr>
              <w:pStyle w:val="a7"/>
              <w:widowControl w:val="0"/>
              <w:tabs>
                <w:tab w:val="left" w:pos="720"/>
                <w:tab w:val="left" w:pos="7088"/>
              </w:tabs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1E" w:rsidRDefault="00AF701E">
            <w:pPr>
              <w:pStyle w:val="Standard"/>
              <w:widowControl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1E" w:rsidRDefault="00AF701E">
            <w:pPr>
              <w:pStyle w:val="Standard"/>
              <w:widowControl w:val="0"/>
              <w:jc w:val="center"/>
              <w:rPr>
                <w:szCs w:val="20"/>
              </w:rPr>
            </w:pPr>
          </w:p>
          <w:p w:rsidR="00AF701E" w:rsidRDefault="00AF701E">
            <w:pPr>
              <w:pStyle w:val="Standard"/>
              <w:widowControl w:val="0"/>
              <w:jc w:val="center"/>
              <w:rPr>
                <w:szCs w:val="20"/>
              </w:rPr>
            </w:pPr>
          </w:p>
        </w:tc>
      </w:tr>
      <w:tr w:rsidR="0081036F" w:rsidRPr="00BC5FAC" w:rsidTr="00BB4544">
        <w:trPr>
          <w:trHeight w:val="4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6F" w:rsidRPr="00721684" w:rsidRDefault="0081036F">
            <w:pPr>
              <w:pStyle w:val="a7"/>
              <w:widowControl w:val="0"/>
              <w:tabs>
                <w:tab w:val="left" w:pos="720"/>
                <w:tab w:val="left" w:pos="7088"/>
              </w:tabs>
              <w:jc w:val="center"/>
            </w:pPr>
            <w:r w:rsidRPr="00721684"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6F" w:rsidRPr="00721684" w:rsidRDefault="00BC5FAC">
            <w:pPr>
              <w:pStyle w:val="Standard"/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721684">
              <w:t>Проведення регламентного технічного обслуговування систем безперебійного живлення Резервного центру обробки даних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6F" w:rsidRPr="00721684" w:rsidRDefault="00BC5FAC" w:rsidP="00BB4544">
            <w:pPr>
              <w:pStyle w:val="Standard"/>
              <w:widowControl w:val="0"/>
              <w:jc w:val="center"/>
              <w:rPr>
                <w:szCs w:val="20"/>
                <w:lang w:val="uk-UA"/>
              </w:rPr>
            </w:pPr>
            <w:r w:rsidRPr="00721684">
              <w:rPr>
                <w:szCs w:val="20"/>
                <w:lang w:val="uk-UA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6F" w:rsidRDefault="0081036F" w:rsidP="00BB4544">
            <w:pPr>
              <w:pStyle w:val="a7"/>
              <w:widowControl w:val="0"/>
              <w:tabs>
                <w:tab w:val="left" w:pos="720"/>
                <w:tab w:val="left" w:pos="7088"/>
              </w:tabs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6F" w:rsidRDefault="0081036F">
            <w:pPr>
              <w:pStyle w:val="Standard"/>
              <w:widowControl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6F" w:rsidRDefault="0081036F">
            <w:pPr>
              <w:pStyle w:val="Standard"/>
              <w:widowControl w:val="0"/>
              <w:jc w:val="center"/>
              <w:rPr>
                <w:szCs w:val="20"/>
              </w:rPr>
            </w:pPr>
          </w:p>
        </w:tc>
      </w:tr>
    </w:tbl>
    <w:p w:rsidR="00BB4544" w:rsidRDefault="00BB4544">
      <w:pPr>
        <w:pStyle w:val="Standard"/>
        <w:jc w:val="both"/>
      </w:pPr>
    </w:p>
    <w:p w:rsidR="00AF701E" w:rsidRDefault="00592B69">
      <w:pPr>
        <w:pStyle w:val="Standard"/>
        <w:jc w:val="both"/>
      </w:pPr>
      <w:r>
        <w:t>4. Адреса надання послуг     _______________________________________</w:t>
      </w:r>
      <w:r>
        <w:rPr>
          <w:lang w:val="uk-UA"/>
        </w:rPr>
        <w:t>_____________________</w:t>
      </w:r>
    </w:p>
    <w:p w:rsidR="00AF701E" w:rsidRDefault="00592B69">
      <w:pPr>
        <w:pStyle w:val="Standard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</w:p>
    <w:p w:rsidR="00AF701E" w:rsidRDefault="00AF701E">
      <w:pPr>
        <w:pStyle w:val="Standard"/>
        <w:jc w:val="both"/>
        <w:rPr>
          <w:lang w:val="uk-UA"/>
        </w:rPr>
      </w:pPr>
    </w:p>
    <w:p w:rsidR="00AF701E" w:rsidRDefault="00592B69">
      <w:pPr>
        <w:pStyle w:val="Standard"/>
        <w:tabs>
          <w:tab w:val="left" w:pos="3516"/>
        </w:tabs>
        <w:jc w:val="both"/>
        <w:rPr>
          <w:lang w:val="uk-UA"/>
        </w:rPr>
      </w:pPr>
      <w:r>
        <w:t xml:space="preserve">5.Термін та умови надання послуг  </w:t>
      </w:r>
      <w:r w:rsidR="00BB4544">
        <w:rPr>
          <w:lang w:val="uk-UA"/>
        </w:rPr>
        <w:t>____________</w:t>
      </w:r>
    </w:p>
    <w:p w:rsidR="00E37CCB" w:rsidRPr="00BB4544" w:rsidRDefault="00E37CCB">
      <w:pPr>
        <w:pStyle w:val="Standard"/>
        <w:tabs>
          <w:tab w:val="left" w:pos="3516"/>
        </w:tabs>
        <w:jc w:val="both"/>
        <w:rPr>
          <w:lang w:val="uk-UA"/>
        </w:rPr>
      </w:pPr>
    </w:p>
    <w:p w:rsidR="00AF701E" w:rsidRDefault="00592B69">
      <w:pPr>
        <w:pStyle w:val="Standard"/>
        <w:ind w:left="2880" w:hanging="2880"/>
      </w:pPr>
      <w:r>
        <w:rPr>
          <w:lang w:val="uk-UA"/>
        </w:rPr>
        <w:t>6</w:t>
      </w:r>
      <w:r>
        <w:t>. Авансовий платіж        __________  ____________                                                                                                                                                                        (так  /    ні – зазначити)</w:t>
      </w:r>
    </w:p>
    <w:p w:rsidR="00AF701E" w:rsidRDefault="00AF701E">
      <w:pPr>
        <w:pStyle w:val="Standard"/>
        <w:spacing w:line="240" w:lineRule="atLeast"/>
        <w:ind w:hanging="2"/>
      </w:pPr>
    </w:p>
    <w:p w:rsidR="00E37CCB" w:rsidRPr="00E37CCB" w:rsidRDefault="00592B69" w:rsidP="00E37CCB">
      <w:pPr>
        <w:pStyle w:val="Standard"/>
        <w:spacing w:line="240" w:lineRule="atLeast"/>
        <w:rPr>
          <w:sz w:val="25"/>
          <w:szCs w:val="25"/>
          <w:lang w:val="uk-UA"/>
        </w:rPr>
      </w:pPr>
      <w:r>
        <w:t xml:space="preserve">7. Відстрочка платежу протягом _______ </w:t>
      </w:r>
      <w:r w:rsidR="00E37CCB" w:rsidRPr="00E37CCB">
        <w:rPr>
          <w:lang w:val="uk-UA"/>
        </w:rPr>
        <w:t xml:space="preserve">банківських </w:t>
      </w:r>
      <w:r w:rsidRPr="00E37CCB">
        <w:t xml:space="preserve">днів </w:t>
      </w:r>
      <w:r w:rsidR="00E37CCB" w:rsidRPr="00E37CCB">
        <w:t>після підписання</w:t>
      </w:r>
      <w:r w:rsidR="00E37CCB">
        <w:rPr>
          <w:lang w:val="uk-UA"/>
        </w:rPr>
        <w:t xml:space="preserve"> </w:t>
      </w:r>
      <w:r w:rsidR="00E37CCB" w:rsidRPr="00E37CCB">
        <w:t>Сторонами</w:t>
      </w:r>
      <w:r w:rsidR="00E37CCB" w:rsidRPr="002F16A7">
        <w:rPr>
          <w:sz w:val="25"/>
          <w:szCs w:val="25"/>
        </w:rPr>
        <w:t xml:space="preserve"> </w:t>
      </w:r>
      <w:r w:rsidR="00E37CCB" w:rsidRPr="00E37CCB">
        <w:t>акту</w:t>
      </w:r>
      <w:r w:rsidR="00E37CCB">
        <w:rPr>
          <w:lang w:val="uk-UA"/>
        </w:rPr>
        <w:t xml:space="preserve"> </w:t>
      </w:r>
    </w:p>
    <w:p w:rsidR="00E37CCB" w:rsidRPr="00E37CCB" w:rsidRDefault="00E37CCB" w:rsidP="00E37CCB">
      <w:pPr>
        <w:pStyle w:val="Standard"/>
        <w:spacing w:line="240" w:lineRule="atLeast"/>
        <w:rPr>
          <w:sz w:val="20"/>
          <w:szCs w:val="20"/>
          <w:lang w:val="uk-UA"/>
        </w:rPr>
      </w:pPr>
      <w:r w:rsidRPr="00E37CCB">
        <w:rPr>
          <w:sz w:val="20"/>
          <w:szCs w:val="20"/>
          <w:lang w:val="uk-UA"/>
        </w:rPr>
        <w:t xml:space="preserve">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  <w:r w:rsidRPr="00E37CCB">
        <w:rPr>
          <w:sz w:val="20"/>
          <w:szCs w:val="20"/>
          <w:lang w:val="uk-UA"/>
        </w:rPr>
        <w:t xml:space="preserve"> </w:t>
      </w:r>
      <w:r w:rsidRPr="00E37CCB">
        <w:rPr>
          <w:sz w:val="20"/>
          <w:szCs w:val="20"/>
        </w:rPr>
        <w:t xml:space="preserve">(прописом)              </w:t>
      </w:r>
    </w:p>
    <w:p w:rsidR="00AF701E" w:rsidRPr="00E37CCB" w:rsidRDefault="00E37CCB" w:rsidP="00E37CCB">
      <w:pPr>
        <w:pStyle w:val="Standard"/>
        <w:spacing w:line="240" w:lineRule="atLeast"/>
        <w:ind w:hanging="2"/>
      </w:pPr>
      <w:r w:rsidRPr="00E37CCB">
        <w:t>приймання-передачі наданих послуг</w:t>
      </w:r>
      <w:r w:rsidRPr="00E37CCB">
        <w:rPr>
          <w:lang w:val="uk-UA"/>
        </w:rPr>
        <w:t xml:space="preserve">   __</w:t>
      </w:r>
      <w:r w:rsidR="00721684">
        <w:rPr>
          <w:lang w:val="uk-UA"/>
        </w:rPr>
        <w:t>___</w:t>
      </w:r>
      <w:r w:rsidRPr="00E37CCB">
        <w:rPr>
          <w:lang w:val="uk-UA"/>
        </w:rPr>
        <w:t>____ %</w:t>
      </w:r>
      <w:r w:rsidR="00592B69" w:rsidRPr="00E37CCB">
        <w:t>.</w:t>
      </w:r>
    </w:p>
    <w:p w:rsidR="00AF701E" w:rsidRPr="00E37CCB" w:rsidRDefault="00592B69" w:rsidP="00E37CCB">
      <w:pPr>
        <w:pStyle w:val="Standard"/>
        <w:spacing w:line="240" w:lineRule="atLeast"/>
        <w:rPr>
          <w:sz w:val="20"/>
          <w:szCs w:val="20"/>
        </w:rPr>
      </w:pPr>
      <w:r>
        <w:t xml:space="preserve">                                                      </w:t>
      </w:r>
      <w:r w:rsidR="00E37CCB">
        <w:rPr>
          <w:lang w:val="uk-UA"/>
        </w:rPr>
        <w:t xml:space="preserve">        </w:t>
      </w:r>
      <w:bookmarkStart w:id="0" w:name="_GoBack"/>
      <w:bookmarkEnd w:id="0"/>
      <w:r w:rsidRPr="00E37CCB">
        <w:rPr>
          <w:sz w:val="20"/>
          <w:szCs w:val="20"/>
        </w:rPr>
        <w:t>(зазначений прописом)</w:t>
      </w:r>
    </w:p>
    <w:p w:rsidR="00AF701E" w:rsidRDefault="00592B69">
      <w:pPr>
        <w:pStyle w:val="Standard"/>
        <w:spacing w:line="240" w:lineRule="atLeast"/>
      </w:pPr>
      <w:r>
        <w:t xml:space="preserve">8. Строк дії пропозиції - ___________ дн., але не менше ніж __________ дн.    </w:t>
      </w:r>
    </w:p>
    <w:p w:rsidR="00AF701E" w:rsidRDefault="00592B69">
      <w:pPr>
        <w:pStyle w:val="Standard"/>
        <w:spacing w:line="240" w:lineRule="atLeast"/>
      </w:pPr>
      <w:r>
        <w:t xml:space="preserve">                                              прописом                                  </w:t>
      </w:r>
      <w:r>
        <w:tab/>
        <w:t xml:space="preserve"> прописом</w:t>
      </w:r>
    </w:p>
    <w:p w:rsidR="00B963A9" w:rsidRPr="00B963A9" w:rsidRDefault="00B963A9">
      <w:pPr>
        <w:pStyle w:val="Standard"/>
        <w:jc w:val="both"/>
        <w:rPr>
          <w:u w:val="single"/>
          <w:lang w:val="uk-UA"/>
        </w:rPr>
      </w:pPr>
      <w:r>
        <w:rPr>
          <w:u w:val="single"/>
          <w:lang w:val="uk-UA"/>
        </w:rPr>
        <w:t>_____________________________________________________________________________________</w:t>
      </w:r>
    </w:p>
    <w:p w:rsidR="00B963A9" w:rsidRPr="00B963A9" w:rsidRDefault="00B963A9" w:rsidP="00B963A9">
      <w:pPr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963A9">
        <w:rPr>
          <w:rFonts w:ascii="Times New Roman" w:hAnsi="Times New Roman"/>
          <w:sz w:val="24"/>
          <w:szCs w:val="24"/>
          <w:lang w:val="ru-RU"/>
        </w:rPr>
        <w:lastRenderedPageBreak/>
        <w:t>1. Ми погоджуємося дотримуватися умов цієї пропозиції яка буде обов’язковою для нас і може бути акцептована Вами у будь-який час до закінчення цієї процедури.</w:t>
      </w:r>
    </w:p>
    <w:p w:rsidR="00B963A9" w:rsidRPr="00B963A9" w:rsidRDefault="00B963A9" w:rsidP="00B963A9">
      <w:pPr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B963A9">
        <w:rPr>
          <w:rFonts w:ascii="Times New Roman" w:hAnsi="Times New Roman"/>
          <w:sz w:val="24"/>
          <w:szCs w:val="24"/>
          <w:lang w:val="ru-RU"/>
        </w:rPr>
        <w:t>2. Ми погоджуємося з умовами, що Ви можете відхилити нашу чи всі пропозиції відкритих торгів згідно з кваліфікаційними умовами та технічними умовами Замовника, та розуміємо, що Ви не обмежені у прийнятті будь-якої іншої пропозиції з більш вигідними для Вас умовами.</w:t>
      </w:r>
    </w:p>
    <w:p w:rsidR="00B963A9" w:rsidRPr="00B963A9" w:rsidRDefault="00B963A9" w:rsidP="00B963A9">
      <w:pPr>
        <w:pStyle w:val="Bodytext1"/>
        <w:shd w:val="clear" w:color="auto" w:fill="auto"/>
        <w:tabs>
          <w:tab w:val="left" w:leader="underscore" w:pos="2915"/>
        </w:tabs>
        <w:spacing w:after="0"/>
        <w:ind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3A9">
        <w:rPr>
          <w:rFonts w:ascii="Times New Roman" w:hAnsi="Times New Roman" w:cs="Times New Roman"/>
          <w:sz w:val="24"/>
          <w:szCs w:val="24"/>
          <w:lang w:val="ru-RU"/>
        </w:rPr>
        <w:t>3.Ми погоджуємося дотримуватися  вимог антикорупційного законодавства, не пропонуємо, не даємо та не погоджуємося дати прямо чи опосередковано будь-якій посадовій особі Державного підприємства «Центр державного земельного кадастру» (далі – Центр ДЗК) винагороду в будь-якій формі (пропозиція щодо найму на роботу, цінна річ, послуга тощо) з метою вплинути на прийняття рішення щодо визначення переможця торгів або застосування Центром ДЗК</w:t>
      </w:r>
      <w:r w:rsidRPr="00B963A9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B963A9">
        <w:rPr>
          <w:rFonts w:ascii="Times New Roman" w:hAnsi="Times New Roman" w:cs="Times New Roman"/>
          <w:sz w:val="24"/>
          <w:szCs w:val="24"/>
          <w:lang w:val="ru-RU"/>
        </w:rPr>
        <w:t>певної процедури торгів;</w:t>
      </w:r>
    </w:p>
    <w:p w:rsidR="00AF701E" w:rsidRDefault="00592B69">
      <w:pPr>
        <w:pStyle w:val="Bodytext1"/>
        <w:shd w:val="clear" w:color="auto" w:fill="auto"/>
        <w:tabs>
          <w:tab w:val="left" w:pos="954"/>
          <w:tab w:val="left" w:leader="underscore" w:pos="3374"/>
        </w:tabs>
        <w:spacing w:after="0" w:line="274" w:lineRule="exact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Щодо нас відсутні факти участі у змові.</w:t>
      </w:r>
    </w:p>
    <w:p w:rsidR="00AF701E" w:rsidRDefault="00592B69">
      <w:pPr>
        <w:pStyle w:val="Bodytext1"/>
        <w:shd w:val="clear" w:color="auto" w:fill="auto"/>
        <w:tabs>
          <w:tab w:val="left" w:pos="978"/>
          <w:tab w:val="left" w:leader="underscore" w:pos="2798"/>
        </w:tabs>
        <w:spacing w:after="0" w:line="274" w:lineRule="exact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Ми не є пов'язаною особою із іншими Учасниками, які подали пропозиції для участі в цієї спрощеної закупівлі.</w:t>
      </w:r>
    </w:p>
    <w:p w:rsidR="00AF701E" w:rsidRDefault="00592B69">
      <w:pPr>
        <w:pStyle w:val="Bodytext1"/>
        <w:shd w:val="clear" w:color="auto" w:fill="auto"/>
        <w:spacing w:after="0" w:line="274" w:lineRule="exact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Ми не визнані у встановленому законом порядку банкрутом та відносно нас не відкрита ліквідаційна процедура.</w:t>
      </w:r>
    </w:p>
    <w:p w:rsidR="00AF701E" w:rsidRDefault="00592B69">
      <w:pPr>
        <w:pStyle w:val="Standard"/>
        <w:jc w:val="both"/>
        <w:rPr>
          <w:lang w:val="uk-UA"/>
        </w:rPr>
      </w:pPr>
      <w:r>
        <w:rPr>
          <w:lang w:val="uk-UA"/>
        </w:rPr>
        <w:t>7. Якщо наша пропозиція буде акцептована, ми зобов’язуємося підписати Договір із Замовником не пізніше 20 календарних днів з дня прийняття рішення про намір укласти договір про закупівлю.</w:t>
      </w:r>
    </w:p>
    <w:p w:rsidR="00B963A9" w:rsidRDefault="00B963A9">
      <w:pPr>
        <w:pStyle w:val="Standard"/>
        <w:jc w:val="both"/>
        <w:rPr>
          <w:lang w:val="uk-UA"/>
        </w:rPr>
      </w:pPr>
    </w:p>
    <w:p w:rsidR="00AF701E" w:rsidRDefault="00592B69">
      <w:pPr>
        <w:pStyle w:val="Standard"/>
        <w:jc w:val="both"/>
      </w:pPr>
      <w:r>
        <w:rPr>
          <w:lang w:val="uk-UA"/>
        </w:rPr>
        <w:t>Керівник</w:t>
      </w:r>
      <w:r>
        <w:rPr>
          <w:sz w:val="20"/>
          <w:szCs w:val="20"/>
          <w:lang w:val="uk-UA"/>
        </w:rPr>
        <w:t>_____________________________________                       ______________________</w:t>
      </w:r>
    </w:p>
    <w:p w:rsidR="00AF701E" w:rsidRDefault="00AF701E">
      <w:pPr>
        <w:pStyle w:val="Standard"/>
        <w:jc w:val="both"/>
        <w:rPr>
          <w:sz w:val="20"/>
          <w:szCs w:val="20"/>
          <w:lang w:val="uk-UA"/>
        </w:rPr>
      </w:pPr>
    </w:p>
    <w:p w:rsidR="00AF701E" w:rsidRDefault="00592B69">
      <w:pPr>
        <w:pStyle w:val="Standard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(П.І.Б.)</w:t>
      </w:r>
    </w:p>
    <w:p w:rsidR="00AF701E" w:rsidRDefault="00592B69">
      <w:pPr>
        <w:pStyle w:val="Standard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М.П.</w:t>
      </w:r>
    </w:p>
    <w:p w:rsidR="00AF701E" w:rsidRDefault="00592B69">
      <w:pPr>
        <w:pStyle w:val="Standard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Посада, прізвище, ініціали, підпис уповноваженої особи Учасника, завірені печаткою</w:t>
      </w:r>
    </w:p>
    <w:p w:rsidR="00AF701E" w:rsidRDefault="00592B69">
      <w:pPr>
        <w:pStyle w:val="Standard"/>
      </w:pPr>
      <w:r>
        <w:rPr>
          <w:lang w:val="uk-UA"/>
        </w:rPr>
        <w:t>*</w:t>
      </w:r>
      <w:r>
        <w:rPr>
          <w:sz w:val="20"/>
          <w:szCs w:val="20"/>
          <w:lang w:val="uk-UA"/>
        </w:rPr>
        <w:t>Якщо цінова пропозиція складається з декількох найменувань то зазначені пункти формуються у вигляді таблиці, або за кожним найменуванням</w:t>
      </w:r>
    </w:p>
    <w:p w:rsidR="00AF701E" w:rsidRDefault="00AF701E">
      <w:pPr>
        <w:pStyle w:val="Standard"/>
        <w:jc w:val="both"/>
      </w:pPr>
    </w:p>
    <w:sectPr w:rsidR="00AF701E" w:rsidSect="00E37CCB">
      <w:pgSz w:w="11906" w:h="16838"/>
      <w:pgMar w:top="426" w:right="707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6F" w:rsidRDefault="007F3E6F">
      <w:r>
        <w:separator/>
      </w:r>
    </w:p>
  </w:endnote>
  <w:endnote w:type="continuationSeparator" w:id="0">
    <w:p w:rsidR="007F3E6F" w:rsidRDefault="007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1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6F" w:rsidRDefault="007F3E6F">
      <w:r>
        <w:rPr>
          <w:color w:val="000000"/>
        </w:rPr>
        <w:separator/>
      </w:r>
    </w:p>
  </w:footnote>
  <w:footnote w:type="continuationSeparator" w:id="0">
    <w:p w:rsidR="007F3E6F" w:rsidRDefault="007F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84B"/>
    <w:multiLevelType w:val="multilevel"/>
    <w:tmpl w:val="73586FF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508385C"/>
    <w:multiLevelType w:val="multilevel"/>
    <w:tmpl w:val="E0EC68A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2976DF8"/>
    <w:multiLevelType w:val="multilevel"/>
    <w:tmpl w:val="03D8CF68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1E"/>
    <w:rsid w:val="00315536"/>
    <w:rsid w:val="00573441"/>
    <w:rsid w:val="00592B69"/>
    <w:rsid w:val="00721684"/>
    <w:rsid w:val="007F3E6F"/>
    <w:rsid w:val="0081036F"/>
    <w:rsid w:val="00AF701E"/>
    <w:rsid w:val="00B963A9"/>
    <w:rsid w:val="00BB4544"/>
    <w:rsid w:val="00BC5FAC"/>
    <w:rsid w:val="00D16805"/>
    <w:rsid w:val="00D327C2"/>
    <w:rsid w:val="00E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C4F23-980B-4CE9-96F4-9F1EACF0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ohit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paragraph" w:customStyle="1" w:styleId="Bodytext1">
    <w:name w:val="Body text1"/>
    <w:basedOn w:val="Standard"/>
    <w:pPr>
      <w:shd w:val="clear" w:color="auto" w:fill="FFFFFF"/>
      <w:spacing w:after="360" w:line="240" w:lineRule="atLeast"/>
      <w:ind w:hanging="320"/>
    </w:pPr>
    <w:rPr>
      <w:rFonts w:ascii="Calibri" w:eastAsia="Calibri" w:hAnsi="Calibri" w:cs="Calibri"/>
      <w:sz w:val="23"/>
      <w:szCs w:val="20"/>
      <w:lang w:val="en-US"/>
    </w:rPr>
  </w:style>
  <w:style w:type="paragraph" w:customStyle="1" w:styleId="a5">
    <w:name w:val="Знак"/>
    <w:basedOn w:val="Standard"/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677"/>
        <w:tab w:val="right" w:pos="9355"/>
      </w:tabs>
    </w:pPr>
    <w:rPr>
      <w:lang w:val="uk-UA" w:eastAsia="en-US"/>
    </w:rPr>
  </w:style>
  <w:style w:type="paragraph" w:styleId="a8">
    <w:name w:val="annotation text"/>
    <w:basedOn w:val="Standard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Revision"/>
    <w:pPr>
      <w:widowControl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HTML0">
    <w:name w:val="Стандартный HTML Знак"/>
    <w:basedOn w:val="a0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character" w:customStyle="1" w:styleId="Bodytext">
    <w:name w:val="Body text_"/>
    <w:rPr>
      <w:sz w:val="23"/>
      <w:shd w:val="clear" w:color="auto" w:fill="FFFFFF"/>
    </w:rPr>
  </w:style>
  <w:style w:type="character" w:customStyle="1" w:styleId="ab">
    <w:name w:val="Текст выноски Знак"/>
    <w:basedOn w:val="a0"/>
    <w:rPr>
      <w:rFonts w:ascii="Segoe UI" w:eastAsia="Segoe UI" w:hAnsi="Segoe UI" w:cs="Segoe UI"/>
      <w:sz w:val="18"/>
      <w:szCs w:val="18"/>
      <w:lang w:val="ru-RU" w:eastAsia="ru-RU"/>
    </w:rPr>
  </w:style>
  <w:style w:type="character" w:customStyle="1" w:styleId="ac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ма примечания Знак"/>
    <w:basedOn w:val="a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character" w:styleId="af0">
    <w:name w:val="Strong"/>
    <w:basedOn w:val="a0"/>
    <w:qFormat/>
    <w:rsid w:val="00BB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Учасник  не  повинен відступати від</vt:lpstr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Учасник  не  повинен відступати від</dc:title>
  <dc:creator>Пугач А.И.</dc:creator>
  <cp:lastModifiedBy>L.Klimenko</cp:lastModifiedBy>
  <cp:revision>2</cp:revision>
  <cp:lastPrinted>2021-12-17T14:19:00Z</cp:lastPrinted>
  <dcterms:created xsi:type="dcterms:W3CDTF">2022-09-08T14:59:00Z</dcterms:created>
  <dcterms:modified xsi:type="dcterms:W3CDTF">2022-09-08T14:59:00Z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