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B1076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0</w:t>
      </w:r>
      <w:r w:rsidR="0051171B">
        <w:rPr>
          <w:rFonts w:ascii="Times New Roman" w:eastAsia="Times New Roman" w:hAnsi="Times New Roman"/>
          <w:color w:val="000000"/>
          <w:kern w:val="3"/>
          <w:sz w:val="24"/>
          <w:szCs w:val="24"/>
          <w:lang w:val="uk-UA" w:eastAsia="zh-CN" w:bidi="hi-IN"/>
        </w:rPr>
        <w:t>6</w:t>
      </w:r>
      <w:r w:rsidR="00537068" w:rsidRPr="00A9773E">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06</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009536EB"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1171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r w:rsidR="0051171B">
        <w:rPr>
          <w:rFonts w:ascii="Times New Roman" w:eastAsia="Times New Roman" w:hAnsi="Times New Roman"/>
          <w:b/>
          <w:bCs/>
          <w:color w:val="000000"/>
          <w:kern w:val="3"/>
          <w:sz w:val="24"/>
          <w:szCs w:val="24"/>
          <w:lang w:val="uk-UA" w:eastAsia="zh-CN" w:bidi="hi-IN"/>
        </w:rPr>
        <w:t xml:space="preserve"> (НОВА РЕДАКЦІЯ)</w:t>
      </w:r>
      <w:r w:rsidR="00724997">
        <w:rPr>
          <w:rFonts w:ascii="Times New Roman" w:eastAsia="Times New Roman" w:hAnsi="Times New Roman"/>
          <w:b/>
          <w:bCs/>
          <w:color w:val="000000"/>
          <w:kern w:val="3"/>
          <w:sz w:val="24"/>
          <w:szCs w:val="24"/>
          <w:lang w:val="uk-UA" w:eastAsia="zh-CN" w:bidi="hi-IN"/>
        </w:rPr>
        <w:t xml:space="preserve"> ЗМІНИ</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 xml:space="preserve">НК 024:2019: 36908 - </w:t>
      </w:r>
      <w:proofErr w:type="spellStart"/>
      <w:r w:rsidR="002B24DB" w:rsidRPr="00A9773E">
        <w:rPr>
          <w:rFonts w:ascii="Times New Roman" w:hAnsi="Times New Roman" w:cs="Times New Roman"/>
          <w:b/>
          <w:bCs/>
          <w:lang w:val="uk-UA"/>
        </w:rPr>
        <w:t>Отоакустичний</w:t>
      </w:r>
      <w:proofErr w:type="spellEnd"/>
      <w:r w:rsidR="002B24DB"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F579A8" w:rsidTr="00F579A8">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579A8" w:rsidRDefault="00F579A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F579A8" w:rsidTr="00F579A8">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579A8" w:rsidRDefault="00F579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579A8" w:rsidRDefault="00F579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579A8" w:rsidRDefault="00F579A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 12.06.2023р.</w:t>
            </w:r>
          </w:p>
          <w:p w:rsidR="00F579A8" w:rsidRDefault="00F579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rsidR="00F579A8" w:rsidRDefault="00F579A8" w:rsidP="002626D5">
      <w:pPr>
        <w:jc w:val="right"/>
        <w:rPr>
          <w:rFonts w:ascii="Times New Roman" w:hAnsi="Times New Roman"/>
          <w:b/>
          <w:bCs/>
          <w:sz w:val="24"/>
          <w:szCs w:val="24"/>
          <w:lang w:val="uk-UA"/>
        </w:rPr>
      </w:pPr>
    </w:p>
    <w:p w:rsidR="00F579A8" w:rsidRDefault="00F579A8">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2626D5" w:rsidRPr="00A9773E" w:rsidRDefault="002626D5" w:rsidP="002626D5">
      <w:pPr>
        <w:jc w:val="right"/>
        <w:rPr>
          <w:rFonts w:ascii="Times New Roman" w:hAnsi="Times New Roman"/>
          <w:b/>
          <w:bCs/>
          <w:sz w:val="24"/>
          <w:szCs w:val="24"/>
          <w:lang w:val="uk-UA"/>
        </w:rPr>
      </w:pPr>
      <w:bookmarkStart w:id="0" w:name="_GoBack"/>
      <w:bookmarkEnd w:id="0"/>
      <w:r w:rsidRPr="00A9773E">
        <w:rPr>
          <w:rFonts w:ascii="Times New Roman" w:hAnsi="Times New Roman"/>
          <w:b/>
          <w:bCs/>
          <w:sz w:val="24"/>
          <w:szCs w:val="24"/>
          <w:lang w:val="uk-UA"/>
        </w:rPr>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w:t>
      </w:r>
      <w:proofErr w:type="spellStart"/>
      <w:r w:rsidR="009E2274" w:rsidRPr="00A9773E">
        <w:rPr>
          <w:rFonts w:ascii="Times New Roman" w:hAnsi="Times New Roman" w:cs="Times New Roman"/>
          <w:b/>
          <w:bCs/>
          <w:lang w:val="uk-UA"/>
        </w:rPr>
        <w:t>отоакустичної</w:t>
      </w:r>
      <w:proofErr w:type="spellEnd"/>
      <w:r w:rsidR="009E2274" w:rsidRPr="00A9773E">
        <w:rPr>
          <w:rFonts w:ascii="Times New Roman" w:hAnsi="Times New Roman" w:cs="Times New Roman"/>
          <w:b/>
          <w:bCs/>
          <w:lang w:val="uk-UA"/>
        </w:rPr>
        <w:t xml:space="preserve"> емісії - Аудіометр </w:t>
      </w:r>
      <w:r w:rsidRPr="00A9773E">
        <w:rPr>
          <w:rFonts w:ascii="Times New Roman" w:hAnsi="Times New Roman" w:cs="Times New Roman"/>
          <w:b/>
          <w:bCs/>
          <w:lang w:val="uk-UA"/>
        </w:rPr>
        <w:t xml:space="preserve">ДК 021:2015, код 33120000-7: Системи реєстрації медичної інформації та дослідне обладнання (НК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sidR="009E2274">
        <w:rPr>
          <w:rFonts w:ascii="Times New Roman" w:hAnsi="Times New Roman" w:cs="Times New Roman"/>
          <w:b/>
          <w:bCs/>
          <w:lang w:val="uk-UA"/>
        </w:rPr>
        <w:t>)</w:t>
      </w:r>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1" w:name="ДОДАТОК4"/>
      <w:bookmarkEnd w:id="1"/>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 xml:space="preserve">Товар, </w:t>
      </w:r>
      <w:proofErr w:type="spellStart"/>
      <w:r w:rsidRPr="00A9773E">
        <w:rPr>
          <w:rFonts w:ascii="Times New Roman" w:hAnsi="Times New Roman"/>
          <w:sz w:val="24"/>
          <w:szCs w:val="24"/>
          <w:lang w:bidi="hi-IN"/>
        </w:rPr>
        <w:t>запропонований</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Учасником</w:t>
      </w:r>
      <w:proofErr w:type="spellEnd"/>
      <w:r w:rsidRPr="00A9773E">
        <w:rPr>
          <w:rFonts w:ascii="Times New Roman" w:hAnsi="Times New Roman"/>
          <w:sz w:val="24"/>
          <w:szCs w:val="24"/>
          <w:lang w:bidi="hi-IN"/>
        </w:rPr>
        <w:t xml:space="preserve">, повинен </w:t>
      </w:r>
      <w:proofErr w:type="spellStart"/>
      <w:r w:rsidRPr="00A9773E">
        <w:rPr>
          <w:rFonts w:ascii="Times New Roman" w:hAnsi="Times New Roman"/>
          <w:sz w:val="24"/>
          <w:szCs w:val="24"/>
          <w:lang w:bidi="hi-IN"/>
        </w:rPr>
        <w:t>мати</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сервісну</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підтримку</w:t>
      </w:r>
      <w:proofErr w:type="spellEnd"/>
      <w:r w:rsidRPr="00A9773E">
        <w:rPr>
          <w:rFonts w:ascii="Times New Roman" w:hAnsi="Times New Roman"/>
          <w:sz w:val="24"/>
          <w:szCs w:val="24"/>
          <w:lang w:bidi="hi-IN"/>
        </w:rPr>
        <w:t xml:space="preserve"> в </w:t>
      </w:r>
      <w:proofErr w:type="spellStart"/>
      <w:r w:rsidRPr="00A9773E">
        <w:rPr>
          <w:rFonts w:ascii="Times New Roman" w:hAnsi="Times New Roman"/>
          <w:sz w:val="24"/>
          <w:szCs w:val="24"/>
          <w:lang w:bidi="hi-IN"/>
        </w:rPr>
        <w:t>Україні</w:t>
      </w:r>
      <w:proofErr w:type="spellEnd"/>
      <w:r w:rsidRPr="00A9773E">
        <w:rPr>
          <w:rFonts w:ascii="Times New Roman" w:hAnsi="Times New Roman"/>
          <w:sz w:val="24"/>
          <w:szCs w:val="24"/>
          <w:lang w:bidi="hi-IN"/>
        </w:rPr>
        <w:t>.</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 xml:space="preserve">ДК 021:2015, код 33120000-7: Системи реєстрації медичної інформації та дослідне обладнання (Прилад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НК 024:2019: 36908 - </w:t>
      </w:r>
      <w:proofErr w:type="spellStart"/>
      <w:r w:rsidRPr="00A9773E">
        <w:rPr>
          <w:rFonts w:ascii="Times New Roman" w:hAnsi="Times New Roman"/>
          <w:sz w:val="24"/>
          <w:szCs w:val="24"/>
          <w:lang w:val="uk-UA"/>
        </w:rPr>
        <w:t>Отоакустичний</w:t>
      </w:r>
      <w:proofErr w:type="spellEnd"/>
      <w:r w:rsidRPr="00A9773E">
        <w:rPr>
          <w:rFonts w:ascii="Times New Roman" w:hAnsi="Times New Roman"/>
          <w:sz w:val="24"/>
          <w:szCs w:val="24"/>
          <w:lang w:val="uk-UA"/>
        </w:rPr>
        <w:t xml:space="preserve">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proofErr w:type="spellStart"/>
            <w:r w:rsidRPr="00A9773E">
              <w:rPr>
                <w:rFonts w:ascii="Times New Roman" w:hAnsi="Times New Roman"/>
                <w:sz w:val="24"/>
                <w:szCs w:val="24"/>
                <w:lang w:val="uk-UA"/>
              </w:rPr>
              <w:t>комп</w:t>
            </w:r>
            <w:proofErr w:type="spellEnd"/>
            <w:r w:rsidRPr="00A9773E">
              <w:rPr>
                <w:rFonts w:ascii="Times New Roman" w:hAnsi="Times New Roman"/>
                <w:sz w:val="24"/>
                <w:szCs w:val="24"/>
                <w:lang w:val="uk-UA"/>
              </w:rPr>
              <w:t>.</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w:t>
      </w:r>
      <w:proofErr w:type="spellStart"/>
      <w:r w:rsidRPr="00A9773E">
        <w:rPr>
          <w:rFonts w:ascii="Times New Roman" w:hAnsi="Times New Roman"/>
          <w:b/>
          <w:sz w:val="24"/>
          <w:szCs w:val="24"/>
          <w:lang w:val="uk-UA"/>
        </w:rPr>
        <w:t>отоакустичної</w:t>
      </w:r>
      <w:proofErr w:type="spellEnd"/>
      <w:r w:rsidRPr="00A9773E">
        <w:rPr>
          <w:rFonts w:ascii="Times New Roman" w:hAnsi="Times New Roman"/>
          <w:b/>
          <w:sz w:val="24"/>
          <w:szCs w:val="24"/>
          <w:lang w:val="uk-UA"/>
        </w:rPr>
        <w:t xml:space="preserve">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proofErr w:type="spellStart"/>
            <w:r w:rsidRPr="00A9773E">
              <w:rPr>
                <w:rFonts w:ascii="Times New Roman" w:hAnsi="Times New Roman"/>
                <w:sz w:val="24"/>
                <w:szCs w:val="24"/>
                <w:lang w:val="uk-UA"/>
              </w:rPr>
              <w:t>Отоакустична</w:t>
            </w:r>
            <w:proofErr w:type="spellEnd"/>
            <w:r w:rsidRPr="00A9773E">
              <w:rPr>
                <w:rFonts w:ascii="Times New Roman" w:hAnsi="Times New Roman"/>
                <w:sz w:val="24"/>
                <w:szCs w:val="24"/>
                <w:lang w:val="uk-UA"/>
              </w:rPr>
              <w:t xml:space="preserve">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Перевірка щільності встановлення вкладки у вусі, аналіз сигналу </w:t>
            </w:r>
            <w:proofErr w:type="spellStart"/>
            <w:r w:rsidRPr="00A9773E">
              <w:rPr>
                <w:rFonts w:ascii="Times New Roman" w:hAnsi="Times New Roman"/>
                <w:sz w:val="24"/>
                <w:szCs w:val="24"/>
                <w:lang w:val="uk-UA"/>
              </w:rPr>
              <w:t>зворотнього</w:t>
            </w:r>
            <w:proofErr w:type="spellEnd"/>
            <w:r w:rsidRPr="00A9773E">
              <w:rPr>
                <w:rFonts w:ascii="Times New Roman" w:hAnsi="Times New Roman"/>
                <w:sz w:val="24"/>
                <w:szCs w:val="24"/>
                <w:lang w:val="uk-UA"/>
              </w:rPr>
              <w:t xml:space="preserve">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lastRenderedPageBreak/>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затриманої викликаної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можливість </w:t>
            </w:r>
            <w:proofErr w:type="spellStart"/>
            <w:r w:rsidRPr="00A9773E">
              <w:rPr>
                <w:rFonts w:ascii="Times New Roman" w:hAnsi="Times New Roman"/>
                <w:sz w:val="24"/>
                <w:szCs w:val="24"/>
                <w:lang w:val="uk-UA"/>
              </w:rPr>
              <w:t>доукомплектації</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proofErr w:type="spellStart"/>
            <w:r w:rsidRPr="00A9773E">
              <w:rPr>
                <w:rFonts w:ascii="Times New Roman" w:hAnsi="Times New Roman"/>
                <w:kern w:val="2"/>
                <w:sz w:val="24"/>
                <w:szCs w:val="24"/>
                <w:lang w:val="uk-UA"/>
              </w:rPr>
              <w:t>Cтупінь</w:t>
            </w:r>
            <w:proofErr w:type="spellEnd"/>
            <w:r w:rsidRPr="00A9773E">
              <w:rPr>
                <w:rFonts w:ascii="Times New Roman" w:hAnsi="Times New Roman"/>
                <w:kern w:val="2"/>
                <w:sz w:val="24"/>
                <w:szCs w:val="24"/>
                <w:lang w:val="uk-UA"/>
              </w:rPr>
              <w:t xml:space="preserve">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 xml:space="preserve">Комплект аксесуарів та вушних вкладок, у </w:t>
            </w:r>
            <w:proofErr w:type="spellStart"/>
            <w:r w:rsidRPr="00A9773E">
              <w:rPr>
                <w:rFonts w:ascii="Times New Roman" w:eastAsia="Symbol" w:hAnsi="Times New Roman"/>
                <w:sz w:val="24"/>
                <w:szCs w:val="24"/>
                <w:lang w:val="uk-UA"/>
              </w:rPr>
              <w:t>т.ч</w:t>
            </w:r>
            <w:proofErr w:type="spellEnd"/>
            <w:r w:rsidRPr="00A9773E">
              <w:rPr>
                <w:rFonts w:ascii="Times New Roman" w:eastAsia="Symbol" w:hAnsi="Times New Roman"/>
                <w:sz w:val="24"/>
                <w:szCs w:val="24"/>
                <w:lang w:val="uk-UA"/>
              </w:rPr>
              <w:t xml:space="preserve">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 xml:space="preserve">1 </w:t>
            </w:r>
            <w:proofErr w:type="spellStart"/>
            <w:r w:rsidRPr="00A9773E">
              <w:rPr>
                <w:rFonts w:ascii="Times New Roman" w:eastAsia="Symbol" w:hAnsi="Times New Roman"/>
                <w:sz w:val="24"/>
                <w:szCs w:val="24"/>
                <w:lang w:val="uk-UA"/>
              </w:rPr>
              <w:t>шт</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w:t>
      </w:r>
      <w:proofErr w:type="spellStart"/>
      <w:r w:rsidRPr="00A9773E">
        <w:rPr>
          <w:rFonts w:ascii="Times New Roman" w:eastAsia="Arial" w:hAnsi="Times New Roman" w:cs="Times New Roman"/>
          <w:bCs/>
          <w:i/>
          <w:kern w:val="0"/>
          <w:shd w:val="clear" w:color="auto" w:fill="FFFFFF"/>
          <w:lang w:val="uk-UA" w:eastAsia="ar-SA" w:bidi="ar-SA"/>
        </w:rPr>
        <w:t>Проєкт</w:t>
      </w:r>
      <w:proofErr w:type="spellEnd"/>
      <w:r w:rsidRPr="00A9773E">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96FB5"/>
    <w:rsid w:val="004A2161"/>
    <w:rsid w:val="004B3D0D"/>
    <w:rsid w:val="004C22C5"/>
    <w:rsid w:val="004C45C5"/>
    <w:rsid w:val="004E52BB"/>
    <w:rsid w:val="00501481"/>
    <w:rsid w:val="00502948"/>
    <w:rsid w:val="0051171B"/>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445A7"/>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2499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2592"/>
    <w:rsid w:val="00B060FF"/>
    <w:rsid w:val="00B1076B"/>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579A8"/>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417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81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F0FA-8739-4537-B05A-BC63DD36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4152</Words>
  <Characters>2368</Characters>
  <Application>Microsoft Office Word</Application>
  <DocSecurity>0</DocSecurity>
  <Lines>19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6507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28</cp:revision>
  <dcterms:created xsi:type="dcterms:W3CDTF">2023-05-16T20:48:00Z</dcterms:created>
  <dcterms:modified xsi:type="dcterms:W3CDTF">2023-06-07T10:14:00Z</dcterms:modified>
</cp:coreProperties>
</file>