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7D" w:rsidRPr="00554BBF" w:rsidRDefault="00D3577D" w:rsidP="00554B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54BB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ДОДАТОК 2</w:t>
      </w:r>
    </w:p>
    <w:p w:rsidR="00D3577D" w:rsidRPr="00554BBF" w:rsidRDefault="00D3577D" w:rsidP="00554BBF">
      <w:pPr>
        <w:widowControl w:val="0"/>
        <w:tabs>
          <w:tab w:val="left" w:pos="69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554BBF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до тендерної документації</w:t>
      </w:r>
    </w:p>
    <w:p w:rsidR="00D3577D" w:rsidRPr="00554BBF" w:rsidRDefault="00D3577D" w:rsidP="00554BBF">
      <w:pPr>
        <w:spacing w:after="0" w:line="240" w:lineRule="auto"/>
        <w:ind w:left="756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577D" w:rsidRPr="00554BBF" w:rsidRDefault="00D3577D" w:rsidP="00554BBF">
      <w:pPr>
        <w:spacing w:after="0" w:line="240" w:lineRule="auto"/>
        <w:ind w:left="756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3577D" w:rsidRDefault="00D3577D" w:rsidP="00554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BBF">
        <w:rPr>
          <w:rFonts w:ascii="Times New Roman" w:hAnsi="Times New Roman"/>
          <w:b/>
          <w:sz w:val="24"/>
          <w:szCs w:val="24"/>
          <w:lang w:eastAsia="ru-RU"/>
        </w:rPr>
        <w:t>ТЕХНІЧНІ, ЯКІСНІ, КІЛЬКІСНІ ВИМОГИ ДО ПРЕДМЕТА ЗАКУПІВЛІ</w:t>
      </w:r>
    </w:p>
    <w:p w:rsidR="00D3577D" w:rsidRPr="002647F3" w:rsidRDefault="00D3577D" w:rsidP="002647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ahoma"/>
          <w:color w:val="000000"/>
          <w:kern w:val="3"/>
          <w:sz w:val="24"/>
          <w:szCs w:val="24"/>
          <w:lang w:eastAsia="zh-CN" w:bidi="hi-IN"/>
        </w:rPr>
      </w:pPr>
      <w:r w:rsidRPr="002647F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</w:t>
      </w:r>
      <w:smartTag w:uri="urn:schemas-microsoft-com:office:smarttags" w:element="metricconverter">
        <w:smartTagPr>
          <w:attr w:name="ProductID" w:val="760 мм"/>
        </w:smartTagPr>
        <w:r w:rsidRPr="002647F3">
          <w:rPr>
            <w:rFonts w:ascii="Times New Roman" w:hAnsi="Times New Roman"/>
            <w:color w:val="000000"/>
            <w:kern w:val="3"/>
            <w:sz w:val="24"/>
            <w:szCs w:val="24"/>
            <w:lang w:eastAsia="zh-CN" w:bidi="hi-IN"/>
          </w:rPr>
          <w:t>760 мм</w:t>
        </w:r>
      </w:smartTag>
      <w:r w:rsidRPr="002647F3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 xml:space="preserve"> рт. ст.).</w:t>
      </w:r>
    </w:p>
    <w:p w:rsidR="00D3577D" w:rsidRPr="00554BBF" w:rsidRDefault="00D3577D" w:rsidP="00554BB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577D" w:rsidRPr="00F22E3F" w:rsidRDefault="00D3577D" w:rsidP="00F22E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9"/>
        <w:gridCol w:w="1842"/>
        <w:gridCol w:w="2349"/>
      </w:tblGrid>
      <w:tr w:rsidR="00D3577D" w:rsidRPr="002155D1" w:rsidTr="002D009F">
        <w:trPr>
          <w:trHeight w:val="23"/>
        </w:trPr>
        <w:tc>
          <w:tcPr>
            <w:tcW w:w="5709" w:type="dxa"/>
            <w:vAlign w:val="center"/>
          </w:tcPr>
          <w:p w:rsidR="00D3577D" w:rsidRPr="00554BBF" w:rsidRDefault="00D3577D" w:rsidP="00554BBF">
            <w:pPr>
              <w:keepNext/>
              <w:snapToGrid w:val="0"/>
              <w:spacing w:after="0" w:line="264" w:lineRule="auto"/>
              <w:ind w:right="87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Найменування товару, щодо якого проводиться процедура закупівлі</w:t>
            </w:r>
          </w:p>
        </w:tc>
        <w:tc>
          <w:tcPr>
            <w:tcW w:w="1842" w:type="dxa"/>
            <w:vAlign w:val="center"/>
          </w:tcPr>
          <w:p w:rsidR="00D3577D" w:rsidRPr="00554BBF" w:rsidRDefault="00D3577D" w:rsidP="00554BBF">
            <w:pPr>
              <w:keepNext/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2349" w:type="dxa"/>
            <w:vAlign w:val="center"/>
          </w:tcPr>
          <w:p w:rsidR="00D3577D" w:rsidRPr="00554BBF" w:rsidRDefault="00D3577D" w:rsidP="00554BBF">
            <w:pPr>
              <w:keepNext/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B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Од. виміру</w:t>
            </w:r>
          </w:p>
        </w:tc>
      </w:tr>
      <w:tr w:rsidR="00D3577D" w:rsidRPr="002155D1" w:rsidTr="002D009F">
        <w:trPr>
          <w:trHeight w:val="614"/>
        </w:trPr>
        <w:tc>
          <w:tcPr>
            <w:tcW w:w="5709" w:type="dxa"/>
            <w:vAlign w:val="center"/>
          </w:tcPr>
          <w:p w:rsidR="00D3577D" w:rsidRPr="00554BBF" w:rsidRDefault="00D3577D" w:rsidP="00554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B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Природний газ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 w:rsidRPr="00554BBF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zh-CN"/>
              </w:rPr>
              <w:t>(ДК 021:2015- 09120000-6 Газове паливо)</w:t>
            </w:r>
          </w:p>
        </w:tc>
        <w:tc>
          <w:tcPr>
            <w:tcW w:w="1842" w:type="dxa"/>
            <w:vAlign w:val="center"/>
          </w:tcPr>
          <w:p w:rsidR="00D3577D" w:rsidRPr="00554BBF" w:rsidRDefault="00D3577D" w:rsidP="00554BBF">
            <w:pPr>
              <w:keepNext/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2349" w:type="dxa"/>
            <w:vAlign w:val="center"/>
          </w:tcPr>
          <w:p w:rsidR="00D3577D" w:rsidRPr="00554BBF" w:rsidRDefault="00D3577D" w:rsidP="00554BBF">
            <w:pPr>
              <w:keepNext/>
              <w:snapToGrid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Тис.</w:t>
            </w:r>
            <w:r w:rsidRPr="00554B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 куб.</w:t>
            </w:r>
          </w:p>
        </w:tc>
      </w:tr>
    </w:tbl>
    <w:p w:rsidR="00D3577D" w:rsidRDefault="00D3577D" w:rsidP="00554BBF">
      <w:pPr>
        <w:spacing w:after="0" w:line="240" w:lineRule="auto"/>
        <w:ind w:right="52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77D" w:rsidRPr="002647F3" w:rsidRDefault="00D3577D" w:rsidP="002647F3">
      <w:pPr>
        <w:spacing w:after="0" w:line="240" w:lineRule="auto"/>
        <w:ind w:right="52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7F3">
        <w:rPr>
          <w:rFonts w:ascii="Times New Roman" w:hAnsi="Times New Roman"/>
          <w:sz w:val="24"/>
          <w:szCs w:val="24"/>
          <w:lang w:eastAsia="ru-RU"/>
        </w:rPr>
        <w:t>Плановий обсяг закупівлі природного газу з розбивкою по місяцях: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6379"/>
      </w:tblGrid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5D1">
              <w:rPr>
                <w:rFonts w:ascii="Times New Roman" w:hAnsi="Times New Roman"/>
                <w:b/>
                <w:bCs/>
              </w:rPr>
              <w:t>Місяць</w:t>
            </w: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155D1">
              <w:rPr>
                <w:rFonts w:ascii="Times New Roman" w:hAnsi="Times New Roman"/>
                <w:b/>
                <w:bCs/>
              </w:rPr>
              <w:t>Обсяг</w:t>
            </w: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5D1">
              <w:rPr>
                <w:rFonts w:ascii="Times New Roman" w:hAnsi="Times New Roman"/>
              </w:rPr>
              <w:t>Січень 2023</w:t>
            </w: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55D1">
              <w:rPr>
                <w:rFonts w:ascii="Times New Roman" w:hAnsi="Times New Roman"/>
              </w:rPr>
              <w:t>Лютий 2023</w:t>
            </w: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155D1">
              <w:rPr>
                <w:rFonts w:ascii="Times New Roman" w:hAnsi="Times New Roman"/>
              </w:rPr>
              <w:t>Березень 2023</w:t>
            </w: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77D" w:rsidRPr="002155D1" w:rsidTr="002155D1">
        <w:tc>
          <w:tcPr>
            <w:tcW w:w="3397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3577D" w:rsidRPr="002155D1" w:rsidRDefault="00D3577D" w:rsidP="00215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577D" w:rsidRPr="00554BBF" w:rsidRDefault="00D3577D" w:rsidP="00554BBF">
      <w:pPr>
        <w:spacing w:after="0" w:line="240" w:lineRule="auto"/>
        <w:ind w:right="52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77D" w:rsidRPr="00F444D2" w:rsidRDefault="00D3577D" w:rsidP="00F444D2">
      <w:pPr>
        <w:spacing w:after="0" w:line="240" w:lineRule="auto"/>
        <w:ind w:right="52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BBF">
        <w:rPr>
          <w:rFonts w:ascii="Times New Roman" w:hAnsi="Times New Roman"/>
          <w:sz w:val="24"/>
          <w:szCs w:val="24"/>
          <w:lang w:eastAsia="ru-RU"/>
        </w:rPr>
        <w:t>У ході виконання договору про закупівлю природного газу Замовник може зменшувати обсяги споживання газу в залежності від погодних умов та режиму роботи закладів.</w:t>
      </w:r>
    </w:p>
    <w:p w:rsidR="00D3577D" w:rsidRPr="00554BBF" w:rsidRDefault="00D3577D" w:rsidP="00554B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BBF">
        <w:rPr>
          <w:rFonts w:ascii="Times New Roman" w:hAnsi="Times New Roman"/>
          <w:b/>
          <w:sz w:val="24"/>
          <w:szCs w:val="24"/>
        </w:rPr>
        <w:t>Вимоги щодо якості товару:</w:t>
      </w:r>
    </w:p>
    <w:p w:rsidR="00D3577D" w:rsidRDefault="00D3577D" w:rsidP="00554B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BBF">
        <w:rPr>
          <w:rFonts w:ascii="Times New Roman" w:hAnsi="Times New Roman"/>
          <w:sz w:val="24"/>
          <w:szCs w:val="24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D3577D" w:rsidRPr="002647F3" w:rsidRDefault="00D3577D" w:rsidP="002647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876"/>
        <w:gridCol w:w="1927"/>
      </w:tblGrid>
      <w:tr w:rsidR="00D3577D" w:rsidRPr="002155D1" w:rsidTr="00761FFC">
        <w:trPr>
          <w:trHeight w:val="20"/>
        </w:trPr>
        <w:tc>
          <w:tcPr>
            <w:tcW w:w="4017" w:type="pct"/>
            <w:vAlign w:val="center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Найменування показника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b/>
                <w:color w:val="000000"/>
                <w:kern w:val="3"/>
                <w:sz w:val="24"/>
                <w:szCs w:val="24"/>
                <w:lang w:eastAsia="zh-CN" w:bidi="hi-IN"/>
              </w:rPr>
              <w:t>Норма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1. Теплота згоряння нижча,  МДж/м³ кПа,  при 20ºС  101,325 кПа, не менше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31,8 (7600) </w:t>
            </w:r>
          </w:p>
        </w:tc>
      </w:tr>
      <w:tr w:rsidR="00D3577D" w:rsidRPr="002155D1" w:rsidTr="00761FFC">
        <w:trPr>
          <w:trHeight w:val="32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2. Область значень числа Воббе (вищого), МДж/м³ (ккал/м³)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9850-13000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0,02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4. Масова концентрація меркаптановоїсірки, г/м³,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0,036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5. Об’ємна частка кисню, %,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1,0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6. Маса механічних домішків у </w:t>
            </w:r>
            <w:smartTag w:uri="urn:schemas-microsoft-com:office:smarttags" w:element="metricconverter">
              <w:smartTagPr>
                <w:attr w:name="ProductID" w:val="1 м³"/>
              </w:smartTagPr>
              <w:r w:rsidRPr="002647F3">
                <w:rPr>
                  <w:rFonts w:ascii="Times New Roman" w:hAnsi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t>1 м³</w:t>
              </w:r>
            </w:smartTag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г, не більше</w:t>
            </w:r>
          </w:p>
        </w:tc>
        <w:tc>
          <w:tcPr>
            <w:tcW w:w="983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0,001</w:t>
            </w:r>
          </w:p>
        </w:tc>
      </w:tr>
      <w:tr w:rsidR="00D3577D" w:rsidRPr="002155D1" w:rsidTr="00761FFC">
        <w:trPr>
          <w:trHeight w:val="20"/>
        </w:trPr>
        <w:tc>
          <w:tcPr>
            <w:tcW w:w="4017" w:type="pct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vAlign w:val="center"/>
          </w:tcPr>
          <w:p w:rsidR="00D3577D" w:rsidRPr="002647F3" w:rsidRDefault="00D3577D" w:rsidP="002647F3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647F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3</w:t>
            </w:r>
          </w:p>
        </w:tc>
      </w:tr>
    </w:tbl>
    <w:p w:rsidR="00D3577D" w:rsidRPr="00554BBF" w:rsidRDefault="00D3577D" w:rsidP="00554BBF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7D" w:rsidRPr="002647F3" w:rsidRDefault="00D3577D" w:rsidP="002647F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47F3">
        <w:rPr>
          <w:rFonts w:ascii="Times New Roman" w:hAnsi="Times New Roman"/>
          <w:b/>
          <w:sz w:val="24"/>
          <w:szCs w:val="24"/>
          <w:lang w:eastAsia="ru-RU"/>
        </w:rPr>
        <w:t>Умови постачання природного газу замовнику повинні відповідати наступним нормативно-правовим актам:</w:t>
      </w:r>
    </w:p>
    <w:p w:rsidR="00D3577D" w:rsidRPr="00F444D2" w:rsidRDefault="00D3577D" w:rsidP="00F444D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D2">
        <w:rPr>
          <w:rFonts w:ascii="Times New Roman" w:hAnsi="Times New Roman"/>
          <w:sz w:val="24"/>
          <w:szCs w:val="24"/>
          <w:lang w:eastAsia="ru-RU"/>
        </w:rPr>
        <w:t>Закон України «Про ринок природного газу» від 09.04.2015 №329-VIII;</w:t>
      </w:r>
    </w:p>
    <w:p w:rsidR="00D3577D" w:rsidRPr="00F444D2" w:rsidRDefault="00D3577D" w:rsidP="00F444D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D2">
        <w:rPr>
          <w:rFonts w:ascii="Times New Roman" w:hAnsi="Times New Roman"/>
          <w:sz w:val="24"/>
          <w:szCs w:val="24"/>
          <w:lang w:eastAsia="ru-RU"/>
        </w:rPr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</w:t>
      </w:r>
    </w:p>
    <w:p w:rsidR="00D3577D" w:rsidRPr="00F444D2" w:rsidRDefault="00D3577D" w:rsidP="00F444D2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D2">
        <w:rPr>
          <w:rFonts w:ascii="Times New Roman" w:hAnsi="Times New Roman"/>
          <w:sz w:val="24"/>
          <w:szCs w:val="24"/>
          <w:lang w:eastAsia="ru-RU"/>
        </w:rPr>
        <w:t>Постанова Національної комісії, що здійснює державне регулювання у сферах енергетики та комунальних послуг від 30.09.2015 №2497 «Про затвердження Типового договору транспортування природного газу».</w:t>
      </w:r>
    </w:p>
    <w:p w:rsidR="00D3577D" w:rsidRPr="00F444D2" w:rsidRDefault="00D3577D" w:rsidP="00F444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D2">
        <w:rPr>
          <w:rFonts w:ascii="Times New Roman" w:hAnsi="Times New Roman"/>
          <w:sz w:val="24"/>
          <w:szCs w:val="24"/>
          <w:lang w:eastAsia="ru-RU"/>
        </w:rPr>
        <w:t>Кодексу газорозподільних систем, затвердженим Постановою НКРЕКП від 30.09.2015 № 2494 (зі змінами);</w:t>
      </w:r>
    </w:p>
    <w:p w:rsidR="00D3577D" w:rsidRPr="00F444D2" w:rsidRDefault="00D3577D" w:rsidP="00264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4D2">
        <w:rPr>
          <w:rFonts w:ascii="Times New Roman" w:hAnsi="Times New Roman"/>
          <w:sz w:val="24"/>
          <w:szCs w:val="24"/>
          <w:lang w:eastAsia="ru-RU"/>
        </w:rPr>
        <w:t>Кодексу газотранспортної системи, затвердженим Постановою НКРЕКП від 30.09.2015 № 2493 (зі змінами);</w:t>
      </w:r>
      <w:bookmarkStart w:id="0" w:name="_GoBack"/>
      <w:bookmarkEnd w:id="0"/>
    </w:p>
    <w:p w:rsidR="00D3577D" w:rsidRPr="002647F3" w:rsidRDefault="00D3577D" w:rsidP="00F444D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7F3">
        <w:rPr>
          <w:rFonts w:ascii="Times New Roman" w:hAnsi="Times New Roman"/>
          <w:sz w:val="24"/>
          <w:szCs w:val="24"/>
          <w:lang w:eastAsia="ru-RU"/>
        </w:rPr>
        <w:t xml:space="preserve">іншим нормативно-правовим актам, прийнятим на виконання Закону України «Про ринок природного газу». </w:t>
      </w:r>
    </w:p>
    <w:p w:rsidR="00D3577D" w:rsidRPr="00554BBF" w:rsidRDefault="00D3577D" w:rsidP="00554B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577D" w:rsidRPr="00554BBF" w:rsidRDefault="00D3577D" w:rsidP="00554BBF">
      <w:pPr>
        <w:shd w:val="clear" w:color="auto" w:fill="FFFFFF"/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577D" w:rsidRDefault="00D3577D"/>
    <w:sectPr w:rsidR="00D3577D" w:rsidSect="00674F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4379"/>
    <w:multiLevelType w:val="multilevel"/>
    <w:tmpl w:val="AE881182"/>
    <w:lvl w:ilvl="0">
      <w:start w:val="2"/>
      <w:numFmt w:val="decimal"/>
      <w:lvlText w:val="%1"/>
      <w:lvlJc w:val="left"/>
      <w:pPr>
        <w:ind w:left="348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</w:rPr>
    </w:lvl>
  </w:abstractNum>
  <w:abstractNum w:abstractNumId="2">
    <w:nsid w:val="29696016"/>
    <w:multiLevelType w:val="hybridMultilevel"/>
    <w:tmpl w:val="CD6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F4F6C"/>
    <w:multiLevelType w:val="hybridMultilevel"/>
    <w:tmpl w:val="07EC4FD6"/>
    <w:lvl w:ilvl="0" w:tplc="3330307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74A5"/>
    <w:multiLevelType w:val="hybridMultilevel"/>
    <w:tmpl w:val="6E286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AA1"/>
    <w:rsid w:val="00022006"/>
    <w:rsid w:val="002155D1"/>
    <w:rsid w:val="002647F3"/>
    <w:rsid w:val="002D009F"/>
    <w:rsid w:val="00373F6D"/>
    <w:rsid w:val="00386C13"/>
    <w:rsid w:val="003B1A05"/>
    <w:rsid w:val="0052198B"/>
    <w:rsid w:val="00535E01"/>
    <w:rsid w:val="00550C94"/>
    <w:rsid w:val="00554BBF"/>
    <w:rsid w:val="005A08F0"/>
    <w:rsid w:val="00674FFE"/>
    <w:rsid w:val="006C4119"/>
    <w:rsid w:val="00761FFC"/>
    <w:rsid w:val="0076592E"/>
    <w:rsid w:val="007C15AF"/>
    <w:rsid w:val="00803AA1"/>
    <w:rsid w:val="008345BA"/>
    <w:rsid w:val="008704DD"/>
    <w:rsid w:val="008F1E5B"/>
    <w:rsid w:val="00B134DC"/>
    <w:rsid w:val="00B52C66"/>
    <w:rsid w:val="00BE1E22"/>
    <w:rsid w:val="00BF1E54"/>
    <w:rsid w:val="00D3577D"/>
    <w:rsid w:val="00E17496"/>
    <w:rsid w:val="00E411AB"/>
    <w:rsid w:val="00EB06C6"/>
    <w:rsid w:val="00F22E3F"/>
    <w:rsid w:val="00F34255"/>
    <w:rsid w:val="00F444D2"/>
    <w:rsid w:val="00FD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F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47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4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2022-11-09T12:37:00Z</dcterms:created>
  <dcterms:modified xsi:type="dcterms:W3CDTF">2022-11-23T11:20:00Z</dcterms:modified>
</cp:coreProperties>
</file>