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BBBE" w14:textId="77777777" w:rsidR="006B5AD9" w:rsidRDefault="006B5AD9" w:rsidP="006B5AD9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Додаток № </w:t>
      </w:r>
      <w:r w:rsidR="003E21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</w:p>
    <w:p w14:paraId="4CDA5545" w14:textId="77777777" w:rsidR="006B5AD9" w:rsidRDefault="006B5AD9" w:rsidP="006B5A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Технічні вимоги</w:t>
      </w:r>
    </w:p>
    <w:p w14:paraId="6F060B76" w14:textId="77777777" w:rsidR="006B5AD9" w:rsidRDefault="006B5AD9" w:rsidP="006B5AD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14:paraId="55F28E13" w14:textId="77777777"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ІНФОРМАЦІЯ</w:t>
      </w:r>
    </w:p>
    <w:p w14:paraId="5541516F" w14:textId="77777777"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про необхідні технічні, якісні та кількісні характеристики предмета закупівлі, </w:t>
      </w:r>
    </w:p>
    <w:p w14:paraId="45DDE3B2" w14:textId="77777777" w:rsidR="006B5AD9" w:rsidRPr="00031CFC" w:rsidRDefault="006B5AD9" w:rsidP="006B5AD9">
      <w:pPr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в тому числі та документи, які повинен надати учасник для підтвердження відповідності зазначеним характеристик</w:t>
      </w:r>
    </w:p>
    <w:p w14:paraId="6C74EB5E" w14:textId="77777777" w:rsidR="003E215F" w:rsidRDefault="003E215F" w:rsidP="003E215F">
      <w:pPr>
        <w:spacing w:line="240" w:lineRule="auto"/>
        <w:ind w:left="360" w:right="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69FB">
        <w:rPr>
          <w:rFonts w:ascii="Times New Roman" w:hAnsi="Times New Roman"/>
          <w:b/>
          <w:sz w:val="24"/>
          <w:szCs w:val="24"/>
        </w:rPr>
        <w:t xml:space="preserve">Адреса </w:t>
      </w:r>
      <w:proofErr w:type="spellStart"/>
      <w:r w:rsidRPr="00E969FB">
        <w:rPr>
          <w:rFonts w:ascii="Times New Roman" w:hAnsi="Times New Roman"/>
          <w:b/>
          <w:sz w:val="24"/>
          <w:szCs w:val="24"/>
        </w:rPr>
        <w:t>об’єкта</w:t>
      </w:r>
      <w:proofErr w:type="spellEnd"/>
      <w:r w:rsidRPr="00E969FB">
        <w:rPr>
          <w:rFonts w:ascii="Times New Roman" w:hAnsi="Times New Roman"/>
          <w:b/>
          <w:sz w:val="24"/>
          <w:szCs w:val="24"/>
        </w:rPr>
        <w:t xml:space="preserve">:  </w:t>
      </w:r>
    </w:p>
    <w:p w14:paraId="5C766ED5" w14:textId="3ED7E94D" w:rsidR="003E215F" w:rsidRPr="00E969FB" w:rsidRDefault="003E215F" w:rsidP="003E215F">
      <w:pPr>
        <w:spacing w:line="240" w:lineRule="auto"/>
        <w:ind w:right="8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-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69FB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E969FB">
        <w:rPr>
          <w:rFonts w:ascii="Times New Roman" w:hAnsi="Times New Roman"/>
          <w:sz w:val="24"/>
          <w:szCs w:val="24"/>
        </w:rPr>
        <w:t>Чернігів</w:t>
      </w:r>
      <w:proofErr w:type="spellEnd"/>
      <w:r w:rsidRPr="00E969F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969FB">
        <w:rPr>
          <w:rFonts w:ascii="Times New Roman" w:hAnsi="Times New Roman"/>
          <w:sz w:val="24"/>
          <w:szCs w:val="24"/>
        </w:rPr>
        <w:t>вул</w:t>
      </w:r>
      <w:proofErr w:type="spellEnd"/>
      <w:r w:rsidRPr="00E969FB">
        <w:rPr>
          <w:rFonts w:ascii="Times New Roman" w:hAnsi="Times New Roman"/>
          <w:sz w:val="24"/>
          <w:szCs w:val="24"/>
        </w:rPr>
        <w:t>.</w:t>
      </w:r>
      <w:r w:rsidR="008C602E">
        <w:rPr>
          <w:rFonts w:ascii="Times New Roman" w:hAnsi="Times New Roman"/>
          <w:sz w:val="24"/>
          <w:szCs w:val="24"/>
          <w:lang w:val="uk-UA"/>
        </w:rPr>
        <w:t>Проспект</w:t>
      </w:r>
      <w:proofErr w:type="gramEnd"/>
      <w:r w:rsidR="008C602E">
        <w:rPr>
          <w:rFonts w:ascii="Times New Roman" w:hAnsi="Times New Roman"/>
          <w:sz w:val="24"/>
          <w:szCs w:val="24"/>
          <w:lang w:val="uk-UA"/>
        </w:rPr>
        <w:t xml:space="preserve"> Перемоги,110а</w:t>
      </w:r>
      <w:r w:rsidRPr="00E969FB">
        <w:rPr>
          <w:rFonts w:ascii="Times New Roman" w:hAnsi="Times New Roman"/>
          <w:sz w:val="24"/>
          <w:szCs w:val="24"/>
        </w:rPr>
        <w:t xml:space="preserve">,                   </w:t>
      </w:r>
    </w:p>
    <w:p w14:paraId="39B2260D" w14:textId="77777777" w:rsidR="003E215F" w:rsidRPr="00B41781" w:rsidRDefault="003E215F" w:rsidP="003E215F">
      <w:pPr>
        <w:spacing w:line="240" w:lineRule="auto"/>
        <w:ind w:left="142" w:right="-426"/>
        <w:jc w:val="both"/>
        <w:rPr>
          <w:rFonts w:ascii="Times New Roman" w:hAnsi="Times New Roman"/>
          <w:sz w:val="24"/>
          <w:szCs w:val="24"/>
          <w:lang w:val="uk-UA"/>
        </w:rPr>
      </w:pPr>
      <w:r w:rsidRPr="00E969FB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</w:p>
    <w:p w14:paraId="026A94B9" w14:textId="77777777" w:rsidR="003E215F" w:rsidRPr="00AC5DF7" w:rsidRDefault="003E215F" w:rsidP="003E215F">
      <w:pPr>
        <w:spacing w:line="240" w:lineRule="auto"/>
        <w:ind w:left="360" w:right="-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969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5DF7">
        <w:rPr>
          <w:rFonts w:ascii="Times New Roman" w:hAnsi="Times New Roman"/>
          <w:b/>
          <w:sz w:val="24"/>
          <w:szCs w:val="24"/>
          <w:lang w:val="uk-UA"/>
        </w:rPr>
        <w:t>Період постачання</w:t>
      </w:r>
      <w:r w:rsidRPr="00AC5DF7">
        <w:rPr>
          <w:rFonts w:ascii="Times New Roman" w:hAnsi="Times New Roman"/>
          <w:sz w:val="24"/>
          <w:szCs w:val="24"/>
        </w:rPr>
        <w:t xml:space="preserve">: </w:t>
      </w:r>
      <w:r w:rsidRPr="00AC5DF7">
        <w:rPr>
          <w:rFonts w:ascii="Times New Roman" w:hAnsi="Times New Roman"/>
          <w:sz w:val="24"/>
          <w:szCs w:val="24"/>
          <w:lang w:val="uk-UA"/>
        </w:rPr>
        <w:t>до 31 грудня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AC5DF7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4DD82212" w14:textId="77777777" w:rsidR="006B5AD9" w:rsidRPr="00031CFC" w:rsidRDefault="006B5AD9" w:rsidP="006B5AD9">
      <w:pPr>
        <w:keepNext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14:paraId="779FF477" w14:textId="77777777"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hi-IN"/>
        </w:rPr>
      </w:pPr>
      <w:r w:rsidRPr="00031CFC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Кількісні характеристики предмета закупівлі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103"/>
        <w:gridCol w:w="2243"/>
        <w:gridCol w:w="1701"/>
      </w:tblGrid>
      <w:tr w:rsidR="006B5AD9" w:rsidRPr="00031CFC" w14:paraId="61C931B3" w14:textId="77777777" w:rsidTr="003E215F">
        <w:trPr>
          <w:trHeight w:val="23"/>
        </w:trPr>
        <w:tc>
          <w:tcPr>
            <w:tcW w:w="734" w:type="dxa"/>
          </w:tcPr>
          <w:p w14:paraId="4E726799" w14:textId="77777777"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№</w:t>
            </w:r>
          </w:p>
        </w:tc>
        <w:tc>
          <w:tcPr>
            <w:tcW w:w="5103" w:type="dxa"/>
          </w:tcPr>
          <w:p w14:paraId="15FD47DA" w14:textId="77777777"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 xml:space="preserve">Назва </w:t>
            </w:r>
          </w:p>
        </w:tc>
        <w:tc>
          <w:tcPr>
            <w:tcW w:w="2243" w:type="dxa"/>
          </w:tcPr>
          <w:p w14:paraId="30BA45EC" w14:textId="77777777"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Одиниця виміру</w:t>
            </w:r>
          </w:p>
        </w:tc>
        <w:tc>
          <w:tcPr>
            <w:tcW w:w="1701" w:type="dxa"/>
          </w:tcPr>
          <w:p w14:paraId="75192C66" w14:textId="77777777"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Кількість</w:t>
            </w:r>
          </w:p>
        </w:tc>
      </w:tr>
      <w:tr w:rsidR="006B5AD9" w:rsidRPr="00031CFC" w14:paraId="21F5D70C" w14:textId="77777777" w:rsidTr="003E215F">
        <w:trPr>
          <w:trHeight w:val="23"/>
        </w:trPr>
        <w:tc>
          <w:tcPr>
            <w:tcW w:w="734" w:type="dxa"/>
          </w:tcPr>
          <w:p w14:paraId="7E84888C" w14:textId="77777777"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03" w:type="dxa"/>
          </w:tcPr>
          <w:p w14:paraId="3D7771F9" w14:textId="77777777" w:rsidR="006B5AD9" w:rsidRPr="00031CFC" w:rsidRDefault="006B5AD9" w:rsidP="00AE45AA">
            <w:pPr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shd w:val="clear" w:color="auto" w:fill="FFFFFF"/>
                <w:lang w:val="uk-UA" w:eastAsia="uk-UA" w:bidi="hi-IN"/>
              </w:rPr>
              <w:t xml:space="preserve">код ДК 021:2015: </w:t>
            </w: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lang w:val="uk-UA" w:eastAsia="zh-CN" w:bidi="hi-IN"/>
              </w:rPr>
              <w:t>09310000-5 «Електрична енергія»</w:t>
            </w:r>
            <w:r w:rsidRPr="00031CFC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 xml:space="preserve"> (</w:t>
            </w: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lang w:val="uk-UA" w:eastAsia="zh-CN" w:bidi="hi-IN"/>
              </w:rPr>
              <w:t>Електрична енергія</w:t>
            </w:r>
            <w:r w:rsidRPr="00031CFC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2243" w:type="dxa"/>
            <w:vAlign w:val="bottom"/>
          </w:tcPr>
          <w:p w14:paraId="2A5C34E6" w14:textId="77777777" w:rsidR="006B5AD9" w:rsidRPr="00031CFC" w:rsidRDefault="006B5AD9" w:rsidP="00AE45AA">
            <w:pPr>
              <w:spacing w:line="240" w:lineRule="atLeast"/>
              <w:jc w:val="center"/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кВт/год.</w:t>
            </w:r>
          </w:p>
        </w:tc>
        <w:tc>
          <w:tcPr>
            <w:tcW w:w="1701" w:type="dxa"/>
            <w:vAlign w:val="bottom"/>
          </w:tcPr>
          <w:p w14:paraId="2E66346C" w14:textId="327B9CE7" w:rsidR="006B5AD9" w:rsidRPr="00031CFC" w:rsidRDefault="008C602E" w:rsidP="003E215F">
            <w:pPr>
              <w:spacing w:line="240" w:lineRule="atLeast"/>
              <w:jc w:val="center"/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bookmarkStart w:id="0" w:name="_GoBack"/>
            <w:bookmarkEnd w:id="0"/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25000</w:t>
            </w:r>
          </w:p>
        </w:tc>
      </w:tr>
    </w:tbl>
    <w:p w14:paraId="6F47A998" w14:textId="77777777" w:rsidR="006B5AD9" w:rsidRPr="00031CFC" w:rsidRDefault="006B5AD9" w:rsidP="006B5AD9">
      <w:pPr>
        <w:keepNext/>
        <w:jc w:val="both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14:paraId="2B421BF0" w14:textId="77777777" w:rsidR="00873050" w:rsidRPr="008C2F6A" w:rsidRDefault="00873050" w:rsidP="00873050">
      <w:pPr>
        <w:numPr>
          <w:ilvl w:val="0"/>
          <w:numId w:val="1"/>
        </w:numPr>
        <w:tabs>
          <w:tab w:val="num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Обсяги постачання електричної </w:t>
      </w:r>
      <w:r w:rsidRPr="008C2F6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енергії </w:t>
      </w:r>
      <w:r w:rsidR="003E215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</w:t>
      </w:r>
      <w:r w:rsidR="008C2F6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по 31.12.2023</w:t>
      </w:r>
      <w:r w:rsidR="003E215F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</w:t>
      </w:r>
      <w:r w:rsidRPr="008C2F6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р.  </w:t>
      </w:r>
    </w:p>
    <w:p w14:paraId="2236996F" w14:textId="77777777" w:rsidR="00873050" w:rsidRPr="00031CFC" w:rsidRDefault="00873050" w:rsidP="00873050">
      <w:pPr>
        <w:ind w:firstLine="851"/>
        <w:jc w:val="both"/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</w:pPr>
      <w:r w:rsidRPr="00031CFC">
        <w:rPr>
          <w:rFonts w:ascii="Liberation Serif" w:eastAsia="Times New Roman" w:hAnsi="Liberation Serif" w:cs="Lohit Devanagari"/>
          <w:color w:val="00000A"/>
          <w:kern w:val="2"/>
          <w:sz w:val="24"/>
          <w:szCs w:val="24"/>
          <w:lang w:val="uk-UA" w:eastAsia="zh-CN" w:bidi="hi-IN"/>
        </w:rPr>
        <w:t xml:space="preserve">Замовник може зменшити обсяги закупівлі в залежності від </w:t>
      </w:r>
      <w:r w:rsidRPr="00031CFC"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  <w:t>фактичної потреб</w:t>
      </w:r>
    </w:p>
    <w:p w14:paraId="23A90999" w14:textId="77777777" w:rsidR="00873050" w:rsidRPr="003E215F" w:rsidRDefault="00873050" w:rsidP="003E215F">
      <w:pPr>
        <w:tabs>
          <w:tab w:val="num" w:pos="851"/>
        </w:tabs>
        <w:suppressAutoHyphens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3E215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</w:p>
    <w:p w14:paraId="26E1F6FE" w14:textId="77777777" w:rsidR="00873050" w:rsidRPr="00E922B9" w:rsidRDefault="00873050" w:rsidP="00873050">
      <w:pPr>
        <w:numPr>
          <w:ilvl w:val="0"/>
          <w:numId w:val="1"/>
        </w:numPr>
        <w:tabs>
          <w:tab w:val="num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E922B9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Клас</w:t>
      </w:r>
      <w:proofErr w:type="spellEnd"/>
      <w:r w:rsidRPr="00E922B9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E922B9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напруги</w:t>
      </w:r>
      <w:proofErr w:type="spellEnd"/>
      <w:r w:rsidRPr="00E922B9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– </w:t>
      </w:r>
      <w:r w:rsidRPr="003E215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2</w:t>
      </w:r>
      <w:r w:rsidRPr="003E215F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</w:p>
    <w:p w14:paraId="45CD41E5" w14:textId="77777777" w:rsidR="006B5AD9" w:rsidRPr="00031CFC" w:rsidRDefault="006B5AD9" w:rsidP="00E922B9">
      <w:pPr>
        <w:tabs>
          <w:tab w:val="num" w:pos="851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14:paraId="6E65BCF0" w14:textId="77777777"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укладає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встановленому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порядку з оператором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системи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</w:t>
      </w:r>
      <w:r w:rsidRPr="00031CF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АКЦІОНЕРНЕ ТОВАРИСТВО «ЧЕРНІГІВОБЛЕНЕРГО» (код ЄДРПОУ 22815333)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)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договір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підставі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набуває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право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отримувати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14:paraId="500E3FB8" w14:textId="77777777"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14:paraId="4DAF4B7C" w14:textId="77777777"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повинні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нормам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сфері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електроенергетики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регулюють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взаємовідносини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сторін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процесі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зокрема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:</w:t>
      </w:r>
    </w:p>
    <w:p w14:paraId="58EFC57D" w14:textId="77777777"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Закону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України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«Про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ринок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»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13.04.2017 № 2019-VШ;</w:t>
      </w:r>
    </w:p>
    <w:p w14:paraId="01782667" w14:textId="77777777"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Правилам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роздрібного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ринку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№312);</w:t>
      </w:r>
    </w:p>
    <w:p w14:paraId="7965F6A9" w14:textId="77777777"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систем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передачі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№309);</w:t>
      </w:r>
    </w:p>
    <w:p w14:paraId="57B4A8E8" w14:textId="77777777"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систем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№310);</w:t>
      </w:r>
    </w:p>
    <w:p w14:paraId="48C0A6DF" w14:textId="77777777"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комерційного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обліку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№311);</w:t>
      </w:r>
    </w:p>
    <w:p w14:paraId="21CE83A4" w14:textId="77777777"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Ліцензійним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провадження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господарської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діяльності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27.12.2017 року №1469);</w:t>
      </w:r>
    </w:p>
    <w:p w14:paraId="0A9D0120" w14:textId="77777777"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Ліцензійним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провадження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господарської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діяльності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27.12.2017 року №1470).</w:t>
      </w:r>
    </w:p>
    <w:p w14:paraId="4440D43C" w14:textId="77777777"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14:paraId="061AD0B3" w14:textId="77777777"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Для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безперервного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зобов'язується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здійснювати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своєчасну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закупівлю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обсягах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належних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умов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забезпечать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задоволення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попиту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Замовником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14:paraId="4DC520C5" w14:textId="77777777"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14:paraId="1E86F2D2" w14:textId="77777777"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lastRenderedPageBreak/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зобов'язується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забезпечити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комерційну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передбачає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вчасне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повне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інформування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ціни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енергію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вартість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надаються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роз'яснень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положень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актів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якими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регулюються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відносини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Сторін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ведення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точних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прозорих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розрахунків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Замовником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також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можливість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вирішення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спірних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питань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шляхом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досудового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врегулювання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14:paraId="3A1E202E" w14:textId="77777777"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Параметри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точках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приєднання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нормальних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експлуатації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мають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параметрам,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визначеним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ДСТУ EN 50160:2014 «Характеристики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напруги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мережах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загальної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призначеності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».</w:t>
      </w:r>
    </w:p>
    <w:p w14:paraId="30C55FE6" w14:textId="77777777"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При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виконанні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замовлення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дотримується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вимог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захисту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довкілля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:</w:t>
      </w:r>
    </w:p>
    <w:p w14:paraId="1EFCD692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технічні, якісні характеристики предмету закупівлі повинні відповідати встановленим/зареєстрованим діючим нормативним актам (стандартам, умовам, тощо), які передбачають застосування заходів із захисту довкілля;</w:t>
      </w:r>
    </w:p>
    <w:p w14:paraId="64C0549C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характеристики предмету закупівлі повинні відповідати вимогам чинних нормативно-правових актів щодо встановлення рівнів шкідливого та біологічного впливу на навколишнє природнє середовище і здоров’я людини;</w:t>
      </w:r>
    </w:p>
    <w:p w14:paraId="417AE001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при виконанні замовлення Учасник дотримується правил протипожежної безпеки, санітарних норм, використовує якісні матеріали, машини, механізми та іншу техніку, які відповідають вимогам діючого природоохоронного законодавства.</w:t>
      </w:r>
    </w:p>
    <w:p w14:paraId="21F05F75" w14:textId="77777777" w:rsidR="006B5AD9" w:rsidRPr="00031CFC" w:rsidRDefault="006B5AD9" w:rsidP="006B5AD9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Liberation Serif" w:eastAsia="Calibri" w:hAnsi="Liberation Serif" w:cs="Mangal"/>
          <w:bCs/>
          <w:i/>
          <w:color w:val="00000A"/>
          <w:sz w:val="24"/>
          <w:szCs w:val="21"/>
          <w:lang w:val="uk-UA" w:eastAsia="en-US" w:bidi="hi-IN"/>
        </w:rPr>
      </w:pPr>
      <w:r w:rsidRPr="00031CFC">
        <w:rPr>
          <w:rFonts w:ascii="Liberation Serif" w:eastAsia="Calibri" w:hAnsi="Liberation Serif" w:cs="Mangal"/>
          <w:bCs/>
          <w:i/>
          <w:color w:val="00000A"/>
          <w:sz w:val="24"/>
          <w:szCs w:val="21"/>
          <w:lang w:val="uk-UA" w:eastAsia="en-US" w:bidi="hi-IN"/>
        </w:rPr>
        <w:t>Для підтвердження Учасник надає лист в довільній формі.</w:t>
      </w:r>
    </w:p>
    <w:p w14:paraId="1D8ABDDC" w14:textId="77777777" w:rsidR="006B5AD9" w:rsidRPr="00031CFC" w:rsidRDefault="006B5AD9" w:rsidP="006B5AD9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14:paraId="6EA256CB" w14:textId="77777777" w:rsidR="006B5AD9" w:rsidRPr="00031CFC" w:rsidRDefault="006B5AD9" w:rsidP="006B5AD9">
      <w:pPr>
        <w:tabs>
          <w:tab w:val="left" w:pos="709"/>
          <w:tab w:val="num" w:pos="851"/>
        </w:tabs>
        <w:spacing w:line="240" w:lineRule="atLeast"/>
        <w:ind w:firstLine="567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3. При поданні пропозицій Учасником, повинні бути враховані чинні нормативно-правові документи, які запроваджують спеціальні економічні та інші обмежувальні заходи та заходи у сфері зовнішньоекономічної діяльності, зокрема:</w:t>
      </w:r>
    </w:p>
    <w:p w14:paraId="64E89A96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14.08.2014р. №  1644-VII «Про санкції»;</w:t>
      </w:r>
    </w:p>
    <w:p w14:paraId="4A7F5B9C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14.10.2014р. № 1702-VII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</w:r>
    </w:p>
    <w:p w14:paraId="12EA57D3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16.04.1991р. № 959-XII «Про зовнішньоекономічну діяльність»;</w:t>
      </w:r>
    </w:p>
    <w:p w14:paraId="4337FF90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15.05.2017р. N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(санкцій)»;</w:t>
      </w:r>
    </w:p>
    <w:p w14:paraId="5653FCD8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14.05.2018 № 126/2018 «Про рішення Ради національної безпеки і оборони України від 2 травня 2018 року «Про застосування та скасування персональних спеціальних економічних та інших обмежувальних заходів (санкцій)»;</w:t>
      </w:r>
    </w:p>
    <w:p w14:paraId="6F17D9E2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06.03.2018 № 57/2018 «Про рішення Ради національної безпеки і оборони України від 1 березня 2018 року «Про застосування персональних спеціальних економічних та інших обмежувальних заходів (санкцій)»;</w:t>
      </w:r>
    </w:p>
    <w:p w14:paraId="010EB721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Постанова КМУ від 30.12.2015 № 1147 «Про заборону ввезення на митну територію України товарів, що походять з Російської Федерації»;</w:t>
      </w:r>
    </w:p>
    <w:p w14:paraId="2C942290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Постанова КМУ від 30.12.2015 № 1146 «Про ставки ввізного мита стосовно товарів, що походять з Російської Федерації»;</w:t>
      </w:r>
    </w:p>
    <w:p w14:paraId="49FEC348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Розпорядження КМУ від 11.09.2014р. № 829-р «Про пропозиції щодо застосування персональних спеціальних економічних та інших обмежувальних заходів»;</w:t>
      </w:r>
    </w:p>
    <w:p w14:paraId="4D9685BF" w14:textId="77777777"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lastRenderedPageBreak/>
        <w:t>Розпорядження КМУ від 12.08.2015р. N 808-р «Про розширення пропозицій щодо застосування персональних спеціальних економічних та інших обмежувальних заходів»;</w:t>
      </w:r>
    </w:p>
    <w:p w14:paraId="2295D7CA" w14:textId="77777777" w:rsidR="006B5AD9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інші нормативно-правові акти щодо запровадження спеціальних економічних та інших обмежувальних заходів.</w:t>
      </w:r>
    </w:p>
    <w:p w14:paraId="69842D55" w14:textId="77777777" w:rsidR="003F7A74" w:rsidRDefault="003F7A74" w:rsidP="003F7A74">
      <w:pPr>
        <w:tabs>
          <w:tab w:val="left" w:pos="851"/>
        </w:tabs>
        <w:spacing w:line="240" w:lineRule="atLeast"/>
        <w:ind w:left="567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14:paraId="0ECC04A0" w14:textId="77777777" w:rsidR="003F7A74" w:rsidRPr="003F7A74" w:rsidRDefault="003F7A74" w:rsidP="003F7A74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</w:pPr>
      <w:r w:rsidRPr="003F7A74"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  <w:t>Для підтвердження  н</w:t>
      </w:r>
      <w:r w:rsidR="00037531"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  <w:t>а</w:t>
      </w:r>
      <w:r w:rsidRPr="003F7A74"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  <w:t>явності ліцензії Учасник надає лист в довільній формі.</w:t>
      </w:r>
    </w:p>
    <w:p w14:paraId="43DA336F" w14:textId="77777777" w:rsidR="003F7A74" w:rsidRPr="003F7A74" w:rsidRDefault="003F7A74" w:rsidP="003F7A74">
      <w:pPr>
        <w:jc w:val="both"/>
        <w:rPr>
          <w:rFonts w:ascii="Times New Roman" w:hAnsi="Times New Roman" w:cs="Times New Roman"/>
          <w:lang w:val="uk-UA"/>
        </w:rPr>
      </w:pPr>
      <w:r w:rsidRPr="003F7A74">
        <w:rPr>
          <w:rFonts w:ascii="Times New Roman" w:hAnsi="Times New Roman" w:cs="Times New Roman"/>
          <w:lang w:val="uk-UA"/>
        </w:rPr>
        <w:t xml:space="preserve">       Лист-підтвердження від учасника про наявність ліцензії на право провадження господарської діяльності з постачання електричної енергії споживачу, виданої НКРЕКП у встановленому порядку, із зазначенням дати й номера рішення(постанови) НКРЕКП про видачу (переоформлення) ліцензії учаснику, а також посилання на відповідну постанову на офіційному </w:t>
      </w:r>
      <w:proofErr w:type="spellStart"/>
      <w:r w:rsidRPr="003F7A74">
        <w:rPr>
          <w:rFonts w:ascii="Times New Roman" w:hAnsi="Times New Roman" w:cs="Times New Roman"/>
          <w:lang w:val="uk-UA"/>
        </w:rPr>
        <w:t>вебсайті</w:t>
      </w:r>
      <w:proofErr w:type="spellEnd"/>
      <w:r w:rsidRPr="003F7A74">
        <w:rPr>
          <w:rFonts w:ascii="Times New Roman" w:hAnsi="Times New Roman" w:cs="Times New Roman"/>
          <w:lang w:val="uk-UA"/>
        </w:rPr>
        <w:t xml:space="preserve"> НКРЕКП.</w:t>
      </w:r>
    </w:p>
    <w:p w14:paraId="24F403D7" w14:textId="77777777" w:rsidR="003F7A74" w:rsidRPr="003F7A74" w:rsidRDefault="003F7A74" w:rsidP="003F7A74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lang w:val="uk-UA"/>
        </w:rPr>
      </w:pPr>
    </w:p>
    <w:p w14:paraId="404412C4" w14:textId="77777777" w:rsidR="006B5AD9" w:rsidRPr="00031CFC" w:rsidRDefault="006B5AD9" w:rsidP="006B5AD9">
      <w:pPr>
        <w:tabs>
          <w:tab w:val="left" w:pos="851"/>
        </w:tabs>
        <w:spacing w:line="240" w:lineRule="atLeast"/>
        <w:ind w:left="851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14:paraId="0E90C3DF" w14:textId="77777777" w:rsidR="006B5AD9" w:rsidRDefault="006B5AD9" w:rsidP="006B5A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2B6ED3E" w14:textId="77777777" w:rsidR="009D3D55" w:rsidRPr="006B5AD9" w:rsidRDefault="009D3D55">
      <w:pPr>
        <w:rPr>
          <w:lang w:val="uk-UA"/>
        </w:rPr>
      </w:pPr>
    </w:p>
    <w:sectPr w:rsidR="009D3D55" w:rsidRPr="006B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B6012B"/>
    <w:multiLevelType w:val="hybridMultilevel"/>
    <w:tmpl w:val="9A90FDB2"/>
    <w:lvl w:ilvl="0" w:tplc="5202A70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color w:val="auto"/>
      </w:rPr>
    </w:lvl>
    <w:lvl w:ilvl="1" w:tplc="75967024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E1E83"/>
    <w:multiLevelType w:val="hybridMultilevel"/>
    <w:tmpl w:val="E8CA1A2C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D9"/>
    <w:rsid w:val="00037531"/>
    <w:rsid w:val="000435AC"/>
    <w:rsid w:val="003A0F80"/>
    <w:rsid w:val="003E215F"/>
    <w:rsid w:val="003F7A74"/>
    <w:rsid w:val="00630CD4"/>
    <w:rsid w:val="006B5AD9"/>
    <w:rsid w:val="006C76BA"/>
    <w:rsid w:val="00873050"/>
    <w:rsid w:val="008C2F6A"/>
    <w:rsid w:val="008C602E"/>
    <w:rsid w:val="009D3D55"/>
    <w:rsid w:val="00AA242F"/>
    <w:rsid w:val="00DB47FF"/>
    <w:rsid w:val="00DF4BD4"/>
    <w:rsid w:val="00E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150C"/>
  <w15:docId w15:val="{FD466D79-13E5-4190-A16F-18AD61C7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A74"/>
    <w:rPr>
      <w:rFonts w:cs="Times New Roman"/>
      <w:b/>
    </w:rPr>
  </w:style>
  <w:style w:type="paragraph" w:customStyle="1" w:styleId="1">
    <w:name w:val="Обычный1"/>
    <w:link w:val="Normal"/>
    <w:rsid w:val="003F7A7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Normal">
    <w:name w:val="Normal Знак"/>
    <w:link w:val="1"/>
    <w:rsid w:val="003F7A74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2023-03-22T11:31:00Z</dcterms:created>
  <dcterms:modified xsi:type="dcterms:W3CDTF">2023-03-22T11:31:00Z</dcterms:modified>
</cp:coreProperties>
</file>