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F1" w:rsidRPr="006C097F" w:rsidRDefault="006129F1" w:rsidP="006129F1">
      <w:pPr>
        <w:suppressAutoHyphens/>
        <w:spacing w:line="240" w:lineRule="auto"/>
        <w:ind w:left="7560" w:right="196"/>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b/>
          <w:bCs/>
          <w:color w:val="auto"/>
          <w:sz w:val="24"/>
          <w:szCs w:val="24"/>
          <w:lang w:val="uk-UA" w:eastAsia="zh-CN"/>
        </w:rPr>
        <w:t xml:space="preserve">  ДОДАТОК  № 4 </w:t>
      </w:r>
    </w:p>
    <w:p w:rsidR="006129F1" w:rsidRPr="006C097F" w:rsidRDefault="006129F1" w:rsidP="006129F1">
      <w:pPr>
        <w:suppressAutoHyphens/>
        <w:spacing w:line="240" w:lineRule="auto"/>
        <w:ind w:right="196"/>
        <w:rPr>
          <w:rFonts w:ascii="Times New Roman" w:eastAsia="Times New Roman" w:hAnsi="Times New Roman" w:cs="Times New Roman"/>
          <w:b/>
          <w:bCs/>
          <w:i/>
          <w:iCs/>
          <w:color w:val="auto"/>
          <w:sz w:val="20"/>
          <w:szCs w:val="20"/>
          <w:lang w:val="uk-UA" w:eastAsia="zh-CN"/>
        </w:rPr>
      </w:pPr>
    </w:p>
    <w:p w:rsidR="006129F1" w:rsidRPr="006C097F" w:rsidRDefault="006129F1" w:rsidP="006129F1">
      <w:pPr>
        <w:suppressAutoHyphens/>
        <w:spacing w:line="240" w:lineRule="auto"/>
        <w:ind w:right="196"/>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i/>
          <w:iCs/>
          <w:color w:val="auto"/>
          <w:lang w:val="uk-UA" w:eastAsia="zh-CN"/>
        </w:rPr>
        <w:t>Тендерна пропозиція подається у вигляді, наведеному нижче.</w:t>
      </w:r>
    </w:p>
    <w:p w:rsidR="006129F1" w:rsidRPr="006C097F" w:rsidRDefault="006129F1" w:rsidP="006129F1">
      <w:pPr>
        <w:suppressAutoHyphens/>
        <w:spacing w:line="240" w:lineRule="auto"/>
        <w:ind w:right="196"/>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i/>
          <w:iCs/>
          <w:color w:val="auto"/>
          <w:lang w:val="uk-UA" w:eastAsia="zh-CN"/>
        </w:rPr>
        <w:t>Учасник не повинен відступати від даної форми та заповнює</w:t>
      </w:r>
    </w:p>
    <w:p w:rsidR="006129F1" w:rsidRPr="006C097F" w:rsidRDefault="006129F1" w:rsidP="006129F1">
      <w:pPr>
        <w:suppressAutoHyphens/>
        <w:spacing w:line="240" w:lineRule="auto"/>
        <w:ind w:right="196"/>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i/>
          <w:iCs/>
          <w:color w:val="auto"/>
          <w:lang w:val="uk-UA" w:eastAsia="zh-CN"/>
        </w:rPr>
        <w:t>всі необхідні графи</w:t>
      </w:r>
    </w:p>
    <w:p w:rsidR="006129F1" w:rsidRPr="006C097F" w:rsidRDefault="006129F1" w:rsidP="006129F1">
      <w:pPr>
        <w:suppressAutoHyphens/>
        <w:spacing w:line="240" w:lineRule="auto"/>
        <w:ind w:right="196"/>
        <w:rPr>
          <w:rFonts w:ascii="Times New Roman" w:eastAsia="Times New Roman" w:hAnsi="Times New Roman" w:cs="Times New Roman"/>
          <w:i/>
          <w:iCs/>
          <w:color w:val="auto"/>
          <w:lang w:val="uk-UA" w:eastAsia="zh-CN"/>
        </w:rPr>
      </w:pPr>
    </w:p>
    <w:p w:rsidR="006129F1" w:rsidRPr="006C097F" w:rsidRDefault="006129F1" w:rsidP="006129F1">
      <w:pPr>
        <w:suppressAutoHyphens/>
        <w:spacing w:line="240" w:lineRule="auto"/>
        <w:ind w:firstLine="440"/>
        <w:jc w:val="center"/>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b/>
          <w:bCs/>
          <w:color w:val="auto"/>
          <w:sz w:val="24"/>
          <w:szCs w:val="24"/>
          <w:lang w:val="uk-UA" w:eastAsia="zh-CN"/>
        </w:rPr>
        <w:t xml:space="preserve">ТЕНДЕРНА ПРОПОЗИЦІЯ </w:t>
      </w:r>
    </w:p>
    <w:p w:rsidR="006129F1" w:rsidRPr="006C097F" w:rsidRDefault="006129F1" w:rsidP="006129F1">
      <w:pPr>
        <w:suppressAutoHyphens/>
        <w:spacing w:line="240" w:lineRule="auto"/>
        <w:ind w:firstLine="440"/>
        <w:jc w:val="center"/>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(форма, яка подається Учасником на фірмовому бланку)</w:t>
      </w:r>
    </w:p>
    <w:p w:rsidR="006129F1" w:rsidRPr="006C097F" w:rsidRDefault="006129F1" w:rsidP="006129F1">
      <w:pPr>
        <w:suppressAutoHyphens/>
        <w:spacing w:line="240" w:lineRule="auto"/>
        <w:ind w:firstLine="440"/>
        <w:jc w:val="center"/>
        <w:rPr>
          <w:rFonts w:ascii="Times New Roman" w:eastAsia="Times New Roman" w:hAnsi="Times New Roman" w:cs="Times New Roman"/>
          <w:color w:val="auto"/>
          <w:sz w:val="24"/>
          <w:szCs w:val="24"/>
          <w:lang w:val="uk-UA" w:eastAsia="zh-CN"/>
        </w:rPr>
      </w:pPr>
    </w:p>
    <w:p w:rsidR="006129F1" w:rsidRPr="006C097F" w:rsidRDefault="006129F1" w:rsidP="006129F1">
      <w:pPr>
        <w:suppressAutoHyphens/>
        <w:spacing w:line="240" w:lineRule="auto"/>
        <w:ind w:firstLine="440"/>
        <w:jc w:val="both"/>
        <w:rPr>
          <w:rFonts w:ascii="Times New Roman" w:eastAsia="Times New Roman" w:hAnsi="Times New Roman" w:cs="Times New Roman"/>
          <w:b/>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Ми, (назва Учасника), надаємо свою тендерну пропозицію щодо участі у відкритих торгах з особливостями для закупівлі </w:t>
      </w:r>
      <w:r w:rsidRPr="006C097F">
        <w:rPr>
          <w:rFonts w:ascii="Times New Roman" w:eastAsia="Times New Roman" w:hAnsi="Times New Roman" w:cs="Times New Roman"/>
          <w:b/>
          <w:color w:val="auto"/>
          <w:sz w:val="24"/>
          <w:szCs w:val="24"/>
          <w:lang w:val="uk-UA" w:eastAsia="zh-CN"/>
        </w:rPr>
        <w:t xml:space="preserve">«Послуг охорони» (код ДК 021:2015 – 79710000-4 «Охоронні послуги») </w:t>
      </w:r>
      <w:r w:rsidRPr="006C097F">
        <w:rPr>
          <w:rFonts w:ascii="Times New Roman" w:eastAsia="Times New Roman" w:hAnsi="Times New Roman" w:cs="Times New Roman"/>
          <w:color w:val="auto"/>
          <w:sz w:val="24"/>
          <w:szCs w:val="24"/>
          <w:lang w:val="uk-UA" w:eastAsia="zh-CN"/>
        </w:rPr>
        <w:t>згідно з технічними вимогами Замовника торгів.</w:t>
      </w:r>
    </w:p>
    <w:p w:rsidR="006129F1" w:rsidRPr="006C097F" w:rsidRDefault="006129F1" w:rsidP="006129F1">
      <w:pPr>
        <w:suppressAutoHyphens/>
        <w:spacing w:line="240" w:lineRule="auto"/>
        <w:ind w:firstLine="708"/>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Вивчивши тендерну документацію та технічні умови,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129F1" w:rsidRPr="00BD22F6" w:rsidRDefault="006129F1" w:rsidP="006129F1">
      <w:pPr>
        <w:suppressAutoHyphens/>
        <w:spacing w:line="240" w:lineRule="auto"/>
        <w:ind w:firstLine="708"/>
        <w:jc w:val="both"/>
        <w:rPr>
          <w:rFonts w:ascii="Times New Roman" w:eastAsia="Times New Roman" w:hAnsi="Times New Roman" w:cs="Times New Roman"/>
          <w:color w:val="FF0000"/>
          <w:sz w:val="27"/>
          <w:szCs w:val="27"/>
          <w:lang w:val="uk-UA" w:eastAsia="zh-CN"/>
        </w:rPr>
      </w:pPr>
    </w:p>
    <w:tbl>
      <w:tblPr>
        <w:tblW w:w="9917" w:type="dxa"/>
        <w:tblInd w:w="-28" w:type="dxa"/>
        <w:tblLayout w:type="fixed"/>
        <w:tblLook w:val="0000" w:firstRow="0" w:lastRow="0" w:firstColumn="0" w:lastColumn="0" w:noHBand="0" w:noVBand="0"/>
      </w:tblPr>
      <w:tblGrid>
        <w:gridCol w:w="2971"/>
        <w:gridCol w:w="1276"/>
        <w:gridCol w:w="1843"/>
        <w:gridCol w:w="1417"/>
        <w:gridCol w:w="2410"/>
      </w:tblGrid>
      <w:tr w:rsidR="006129F1" w:rsidRPr="00014DB7" w:rsidTr="0081309F">
        <w:trPr>
          <w:trHeight w:val="775"/>
        </w:trPr>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b/>
                <w:color w:val="auto"/>
                <w:lang w:eastAsia="uk-UA"/>
              </w:rPr>
            </w:pPr>
            <w:r w:rsidRPr="00014DB7">
              <w:rPr>
                <w:rFonts w:ascii="Times New Roman" w:hAnsi="Times New Roman"/>
                <w:b/>
                <w:color w:val="auto"/>
                <w:lang w:eastAsia="uk-UA"/>
              </w:rPr>
              <w:t>Послуга</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b/>
                <w:color w:val="auto"/>
                <w:lang w:val="uk-UA" w:eastAsia="uk-UA"/>
              </w:rPr>
            </w:pPr>
            <w:r w:rsidRPr="00014DB7">
              <w:rPr>
                <w:rFonts w:ascii="Times New Roman" w:hAnsi="Times New Roman"/>
                <w:b/>
                <w:color w:val="auto"/>
                <w:lang w:eastAsia="uk-UA"/>
              </w:rPr>
              <w:t>Кількість</w:t>
            </w:r>
            <w:r w:rsidRPr="00014DB7">
              <w:rPr>
                <w:rFonts w:ascii="Times New Roman" w:hAnsi="Times New Roman"/>
                <w:b/>
                <w:color w:val="auto"/>
                <w:lang w:val="uk-UA" w:eastAsia="uk-UA"/>
              </w:rPr>
              <w:t xml:space="preserve"> постів, од</w:t>
            </w: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b/>
                <w:color w:val="auto"/>
                <w:lang w:val="uk-UA" w:eastAsia="uk-UA"/>
              </w:rPr>
            </w:pPr>
            <w:r w:rsidRPr="00014DB7">
              <w:rPr>
                <w:rFonts w:ascii="Times New Roman" w:hAnsi="Times New Roman"/>
                <w:b/>
                <w:color w:val="auto"/>
                <w:lang w:eastAsia="uk-UA"/>
              </w:rPr>
              <w:t>Кількість відпрацьованих</w:t>
            </w:r>
            <w:r w:rsidRPr="00014DB7">
              <w:rPr>
                <w:rFonts w:ascii="Times New Roman" w:hAnsi="Times New Roman"/>
                <w:b/>
                <w:color w:val="auto"/>
                <w:lang w:val="uk-UA" w:eastAsia="uk-UA"/>
              </w:rPr>
              <w:t xml:space="preserve"> днів</w:t>
            </w: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b/>
                <w:color w:val="auto"/>
                <w:lang w:val="uk-UA" w:eastAsia="uk-UA"/>
              </w:rPr>
            </w:pPr>
            <w:r w:rsidRPr="00014DB7">
              <w:rPr>
                <w:rFonts w:ascii="Times New Roman" w:hAnsi="Times New Roman"/>
                <w:b/>
                <w:color w:val="auto"/>
                <w:lang w:eastAsia="uk-UA"/>
              </w:rPr>
              <w:t>Вартість послуги за</w:t>
            </w:r>
            <w:r w:rsidRPr="00014DB7">
              <w:rPr>
                <w:rFonts w:ascii="Times New Roman" w:hAnsi="Times New Roman"/>
                <w:b/>
                <w:color w:val="auto"/>
                <w:lang w:val="uk-UA" w:eastAsia="uk-UA"/>
              </w:rPr>
              <w:t xml:space="preserve"> 1 день, грн</w:t>
            </w: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both"/>
              <w:rPr>
                <w:rFonts w:ascii="Times New Roman" w:hAnsi="Times New Roman"/>
                <w:b/>
                <w:color w:val="auto"/>
                <w:lang w:val="uk-UA" w:eastAsia="uk-UA"/>
              </w:rPr>
            </w:pPr>
            <w:r w:rsidRPr="00014DB7">
              <w:rPr>
                <w:rFonts w:ascii="Times New Roman" w:hAnsi="Times New Roman"/>
                <w:b/>
                <w:color w:val="auto"/>
                <w:lang w:eastAsia="uk-UA"/>
              </w:rPr>
              <w:t>Сума</w:t>
            </w:r>
            <w:r w:rsidRPr="00014DB7">
              <w:rPr>
                <w:rFonts w:ascii="Times New Roman" w:hAnsi="Times New Roman"/>
                <w:b/>
                <w:color w:val="auto"/>
                <w:lang w:val="uk-UA" w:eastAsia="uk-UA"/>
              </w:rPr>
              <w:t xml:space="preserve"> послуги </w:t>
            </w:r>
            <w:r w:rsidRPr="00014DB7">
              <w:rPr>
                <w:rFonts w:ascii="Times New Roman" w:hAnsi="Times New Roman"/>
                <w:b/>
                <w:color w:val="auto"/>
                <w:lang w:eastAsia="uk-UA"/>
              </w:rPr>
              <w:t>, грн</w:t>
            </w:r>
            <w:r w:rsidRPr="00014DB7">
              <w:rPr>
                <w:rFonts w:ascii="Times New Roman" w:hAnsi="Times New Roman"/>
                <w:b/>
                <w:color w:val="auto"/>
                <w:lang w:val="uk-UA" w:eastAsia="uk-UA"/>
              </w:rPr>
              <w:t xml:space="preserve"> </w:t>
            </w:r>
            <w:r w:rsidRPr="00014DB7">
              <w:rPr>
                <w:rFonts w:ascii="Times New Roman" w:hAnsi="Times New Roman"/>
                <w:color w:val="auto"/>
                <w:lang w:val="uk-UA" w:eastAsia="uk-UA"/>
              </w:rPr>
              <w:t>(5=2*3*4)</w:t>
            </w:r>
          </w:p>
        </w:tc>
      </w:tr>
      <w:tr w:rsidR="006129F1" w:rsidRPr="00014DB7" w:rsidTr="0081309F">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sz w:val="18"/>
                <w:szCs w:val="18"/>
                <w:lang w:val="uk-UA" w:eastAsia="uk-UA"/>
              </w:rPr>
            </w:pPr>
            <w:r w:rsidRPr="00014DB7">
              <w:rPr>
                <w:rFonts w:ascii="Times New Roman" w:hAnsi="Times New Roman"/>
                <w:color w:val="auto"/>
                <w:sz w:val="18"/>
                <w:szCs w:val="18"/>
                <w:lang w:val="uk-UA" w:eastAsia="uk-UA"/>
              </w:rPr>
              <w:t>1</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sz w:val="18"/>
                <w:szCs w:val="18"/>
                <w:lang w:val="uk-UA" w:eastAsia="uk-UA"/>
              </w:rPr>
            </w:pPr>
            <w:r w:rsidRPr="00014DB7">
              <w:rPr>
                <w:rFonts w:ascii="Times New Roman" w:hAnsi="Times New Roman"/>
                <w:color w:val="auto"/>
                <w:sz w:val="18"/>
                <w:szCs w:val="18"/>
                <w:lang w:val="uk-UA" w:eastAsia="uk-UA"/>
              </w:rPr>
              <w:t>2</w:t>
            </w: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sz w:val="18"/>
                <w:szCs w:val="18"/>
                <w:lang w:val="uk-UA" w:eastAsia="uk-UA"/>
              </w:rPr>
            </w:pPr>
            <w:r w:rsidRPr="00014DB7">
              <w:rPr>
                <w:rFonts w:ascii="Times New Roman" w:hAnsi="Times New Roman"/>
                <w:color w:val="auto"/>
                <w:sz w:val="18"/>
                <w:szCs w:val="18"/>
                <w:lang w:val="uk-UA" w:eastAsia="uk-UA"/>
              </w:rPr>
              <w:t>3</w:t>
            </w: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sz w:val="18"/>
                <w:szCs w:val="18"/>
                <w:lang w:val="uk-UA" w:eastAsia="uk-UA"/>
              </w:rPr>
            </w:pPr>
            <w:r w:rsidRPr="00014DB7">
              <w:rPr>
                <w:rFonts w:ascii="Times New Roman" w:hAnsi="Times New Roman"/>
                <w:color w:val="auto"/>
                <w:sz w:val="18"/>
                <w:szCs w:val="18"/>
                <w:lang w:val="uk-UA" w:eastAsia="uk-UA"/>
              </w:rPr>
              <w:t>4</w:t>
            </w: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center"/>
              <w:rPr>
                <w:rFonts w:ascii="Times New Roman" w:hAnsi="Times New Roman"/>
                <w:color w:val="auto"/>
                <w:sz w:val="18"/>
                <w:szCs w:val="18"/>
                <w:lang w:val="uk-UA" w:eastAsia="uk-UA"/>
              </w:rPr>
            </w:pPr>
            <w:r w:rsidRPr="00014DB7">
              <w:rPr>
                <w:rFonts w:ascii="Times New Roman" w:hAnsi="Times New Roman"/>
                <w:color w:val="auto"/>
                <w:sz w:val="18"/>
                <w:szCs w:val="18"/>
                <w:lang w:val="uk-UA" w:eastAsia="uk-UA"/>
              </w:rPr>
              <w:t>5</w:t>
            </w:r>
          </w:p>
        </w:tc>
      </w:tr>
      <w:tr w:rsidR="006129F1" w:rsidRPr="00014DB7" w:rsidTr="0081309F">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color w:val="auto"/>
                <w:lang w:eastAsia="uk-UA"/>
              </w:rPr>
            </w:pPr>
            <w:r w:rsidRPr="00014DB7">
              <w:rPr>
                <w:rFonts w:ascii="Times New Roman" w:hAnsi="Times New Roman"/>
                <w:color w:val="auto"/>
                <w:lang w:eastAsia="uk-UA"/>
              </w:rPr>
              <w:t>Фізична охорона</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val="uk-UA" w:eastAsia="uk-UA"/>
              </w:rPr>
            </w:pPr>
            <w:r w:rsidRPr="00014DB7">
              <w:rPr>
                <w:rFonts w:ascii="Times New Roman" w:hAnsi="Times New Roman"/>
                <w:color w:val="auto"/>
                <w:lang w:val="uk-UA" w:eastAsia="uk-UA"/>
              </w:rPr>
              <w:t>3</w:t>
            </w: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val="uk-UA" w:eastAsia="uk-UA"/>
              </w:rPr>
            </w:pPr>
            <w:r w:rsidRPr="00014DB7">
              <w:rPr>
                <w:rFonts w:ascii="Times New Roman" w:hAnsi="Times New Roman"/>
                <w:color w:val="auto"/>
                <w:lang w:val="uk-UA" w:eastAsia="uk-UA"/>
              </w:rPr>
              <w:t>245</w:t>
            </w: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val="uk-UA" w:eastAsia="uk-UA"/>
              </w:rPr>
            </w:pP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center"/>
              <w:rPr>
                <w:rFonts w:ascii="Times New Roman" w:hAnsi="Times New Roman"/>
                <w:color w:val="auto"/>
                <w:lang w:eastAsia="uk-UA"/>
              </w:rPr>
            </w:pPr>
          </w:p>
        </w:tc>
      </w:tr>
      <w:tr w:rsidR="006129F1" w:rsidRPr="00014DB7" w:rsidTr="0081309F">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color w:val="auto"/>
                <w:lang w:eastAsia="uk-UA"/>
              </w:rPr>
            </w:pPr>
            <w:r w:rsidRPr="00014DB7">
              <w:rPr>
                <w:rFonts w:ascii="Times New Roman" w:hAnsi="Times New Roman"/>
                <w:color w:val="auto"/>
                <w:lang w:eastAsia="uk-UA"/>
              </w:rPr>
              <w:t>Всього:</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center"/>
              <w:rPr>
                <w:rFonts w:ascii="Times New Roman" w:hAnsi="Times New Roman"/>
                <w:color w:val="auto"/>
                <w:lang w:eastAsia="uk-UA"/>
              </w:rPr>
            </w:pPr>
          </w:p>
        </w:tc>
      </w:tr>
      <w:tr w:rsidR="006129F1" w:rsidRPr="00014DB7" w:rsidTr="0081309F">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color w:val="auto"/>
                <w:lang w:val="uk-UA" w:eastAsia="uk-UA"/>
              </w:rPr>
            </w:pPr>
            <w:r w:rsidRPr="00014DB7">
              <w:rPr>
                <w:rFonts w:ascii="Times New Roman" w:hAnsi="Times New Roman"/>
                <w:color w:val="auto"/>
                <w:lang w:val="uk-UA" w:eastAsia="uk-UA"/>
              </w:rPr>
              <w:t>ПДВ</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center"/>
              <w:rPr>
                <w:rFonts w:ascii="Times New Roman" w:hAnsi="Times New Roman"/>
                <w:color w:val="auto"/>
                <w:lang w:eastAsia="uk-UA"/>
              </w:rPr>
            </w:pPr>
          </w:p>
        </w:tc>
      </w:tr>
      <w:tr w:rsidR="006129F1" w:rsidRPr="00014DB7" w:rsidTr="0081309F">
        <w:tc>
          <w:tcPr>
            <w:tcW w:w="2971"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both"/>
              <w:rPr>
                <w:rFonts w:ascii="Times New Roman" w:hAnsi="Times New Roman"/>
                <w:color w:val="auto"/>
                <w:lang w:val="uk-UA" w:eastAsia="uk-UA"/>
              </w:rPr>
            </w:pPr>
            <w:r w:rsidRPr="00014DB7">
              <w:rPr>
                <w:rFonts w:ascii="Times New Roman" w:hAnsi="Times New Roman"/>
                <w:color w:val="auto"/>
                <w:lang w:val="uk-UA" w:eastAsia="uk-UA"/>
              </w:rPr>
              <w:t>Всього вартість з ПДВ</w:t>
            </w:r>
          </w:p>
        </w:tc>
        <w:tc>
          <w:tcPr>
            <w:tcW w:w="1276"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843"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1417" w:type="dxa"/>
            <w:tcBorders>
              <w:top w:val="single" w:sz="6" w:space="0" w:color="000000"/>
              <w:left w:val="single" w:sz="6" w:space="0" w:color="000000"/>
              <w:bottom w:val="single" w:sz="6" w:space="0" w:color="000000"/>
            </w:tcBorders>
            <w:shd w:val="clear" w:color="auto" w:fill="auto"/>
          </w:tcPr>
          <w:p w:rsidR="006129F1" w:rsidRPr="00014DB7" w:rsidRDefault="006129F1" w:rsidP="0081309F">
            <w:pPr>
              <w:jc w:val="center"/>
              <w:rPr>
                <w:rFonts w:ascii="Times New Roman" w:hAnsi="Times New Roman"/>
                <w:color w:val="auto"/>
                <w:lang w:eastAsia="uk-UA"/>
              </w:rPr>
            </w:pPr>
          </w:p>
        </w:tc>
        <w:tc>
          <w:tcPr>
            <w:tcW w:w="2410" w:type="dxa"/>
            <w:tcBorders>
              <w:top w:val="single" w:sz="6" w:space="0" w:color="000000"/>
              <w:left w:val="single" w:sz="6" w:space="0" w:color="000000"/>
              <w:bottom w:val="single" w:sz="6" w:space="0" w:color="000000"/>
              <w:right w:val="single" w:sz="4" w:space="0" w:color="auto"/>
            </w:tcBorders>
            <w:shd w:val="clear" w:color="auto" w:fill="auto"/>
          </w:tcPr>
          <w:p w:rsidR="006129F1" w:rsidRPr="00014DB7" w:rsidRDefault="006129F1" w:rsidP="0081309F">
            <w:pPr>
              <w:jc w:val="center"/>
              <w:rPr>
                <w:rFonts w:ascii="Times New Roman" w:hAnsi="Times New Roman"/>
                <w:color w:val="auto"/>
                <w:lang w:eastAsia="uk-UA"/>
              </w:rPr>
            </w:pPr>
          </w:p>
        </w:tc>
      </w:tr>
    </w:tbl>
    <w:p w:rsidR="006129F1" w:rsidRPr="00014DB7" w:rsidRDefault="006129F1" w:rsidP="006129F1">
      <w:pPr>
        <w:suppressAutoHyphens/>
        <w:spacing w:line="240" w:lineRule="auto"/>
        <w:jc w:val="both"/>
        <w:rPr>
          <w:rFonts w:ascii="Times New Roman" w:eastAsia="Times New Roman" w:hAnsi="Times New Roman" w:cs="Times New Roman"/>
          <w:color w:val="auto"/>
          <w:sz w:val="24"/>
          <w:szCs w:val="24"/>
          <w:lang w:val="uk-UA" w:eastAsia="zh-CN"/>
        </w:rPr>
      </w:pPr>
      <w:r w:rsidRPr="00014DB7">
        <w:rPr>
          <w:rFonts w:ascii="Times New Roman" w:eastAsia="Times New Roman" w:hAnsi="Times New Roman" w:cs="Times New Roman"/>
          <w:b/>
          <w:bCs/>
          <w:color w:val="auto"/>
          <w:sz w:val="28"/>
          <w:szCs w:val="28"/>
          <w:lang w:val="uk-UA" w:eastAsia="zh-CN"/>
        </w:rPr>
        <w:t xml:space="preserve">_____________________________________________________ </w:t>
      </w:r>
      <w:r w:rsidRPr="00014DB7">
        <w:rPr>
          <w:rFonts w:ascii="Times New Roman" w:eastAsia="Times New Roman" w:hAnsi="Times New Roman" w:cs="Times New Roman"/>
          <w:bCs/>
          <w:color w:val="auto"/>
          <w:sz w:val="24"/>
          <w:szCs w:val="24"/>
          <w:lang w:val="uk-UA" w:eastAsia="zh-CN"/>
        </w:rPr>
        <w:t xml:space="preserve">грн. (у т.ч. ПДВ </w:t>
      </w:r>
    </w:p>
    <w:p w:rsidR="006129F1" w:rsidRPr="00014DB7" w:rsidRDefault="006129F1" w:rsidP="006129F1">
      <w:pPr>
        <w:suppressAutoHyphens/>
        <w:spacing w:line="240" w:lineRule="auto"/>
        <w:ind w:firstLine="708"/>
        <w:jc w:val="both"/>
        <w:rPr>
          <w:rFonts w:ascii="Times New Roman" w:eastAsia="Times New Roman" w:hAnsi="Times New Roman" w:cs="Times New Roman"/>
          <w:color w:val="auto"/>
          <w:sz w:val="24"/>
          <w:szCs w:val="24"/>
          <w:lang w:val="uk-UA" w:eastAsia="zh-CN"/>
        </w:rPr>
      </w:pPr>
      <w:r w:rsidRPr="00014DB7">
        <w:rPr>
          <w:rFonts w:ascii="Times New Roman" w:eastAsia="Times New Roman" w:hAnsi="Times New Roman" w:cs="Times New Roman"/>
          <w:bCs/>
          <w:i/>
          <w:color w:val="auto"/>
          <w:sz w:val="24"/>
          <w:szCs w:val="24"/>
          <w:lang w:val="uk-UA" w:eastAsia="zh-CN"/>
        </w:rPr>
        <w:t xml:space="preserve">                                                         </w:t>
      </w:r>
      <w:r w:rsidRPr="00014DB7">
        <w:rPr>
          <w:rFonts w:ascii="Times New Roman" w:eastAsia="Times New Roman" w:hAnsi="Times New Roman" w:cs="Times New Roman"/>
          <w:bCs/>
          <w:i/>
          <w:color w:val="auto"/>
          <w:sz w:val="20"/>
          <w:szCs w:val="20"/>
          <w:lang w:val="uk-UA" w:eastAsia="zh-CN"/>
        </w:rPr>
        <w:t>(цифрами та словами)</w:t>
      </w:r>
    </w:p>
    <w:p w:rsidR="006129F1" w:rsidRPr="00014DB7" w:rsidRDefault="006129F1" w:rsidP="006129F1">
      <w:pPr>
        <w:suppressAutoHyphens/>
        <w:spacing w:line="240" w:lineRule="auto"/>
        <w:jc w:val="both"/>
        <w:rPr>
          <w:rFonts w:ascii="Times New Roman" w:eastAsia="Times New Roman" w:hAnsi="Times New Roman" w:cs="Times New Roman"/>
          <w:color w:val="auto"/>
          <w:sz w:val="24"/>
          <w:szCs w:val="24"/>
          <w:lang w:val="uk-UA" w:eastAsia="zh-CN"/>
        </w:rPr>
      </w:pPr>
      <w:r w:rsidRPr="00014DB7">
        <w:rPr>
          <w:rFonts w:ascii="Times New Roman" w:eastAsia="Times New Roman" w:hAnsi="Times New Roman" w:cs="Times New Roman"/>
          <w:bCs/>
          <w:color w:val="auto"/>
          <w:sz w:val="24"/>
          <w:szCs w:val="24"/>
          <w:lang w:val="uk-UA" w:eastAsia="zh-CN"/>
        </w:rPr>
        <w:t>_________________________________________________________грн., або без ПДВ)</w:t>
      </w:r>
      <w:r w:rsidRPr="00014DB7">
        <w:rPr>
          <w:rFonts w:eastAsia="Times New Roman"/>
          <w:bCs/>
          <w:color w:val="auto"/>
          <w:sz w:val="24"/>
          <w:szCs w:val="24"/>
          <w:lang w:val="uk-UA" w:eastAsia="zh-CN"/>
        </w:rPr>
        <w:t>*.</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2. Ми погоджуємося дотримуватися умов цієї пропозиції протягом </w:t>
      </w:r>
      <w:r w:rsidRPr="006C097F">
        <w:rPr>
          <w:rFonts w:ascii="Times New Roman" w:eastAsia="Times New Roman" w:hAnsi="Times New Roman" w:cs="Times New Roman"/>
          <w:color w:val="auto"/>
          <w:sz w:val="24"/>
          <w:szCs w:val="24"/>
          <w:lang w:val="uk-UA" w:eastAsia="zh-CN"/>
        </w:rPr>
        <w:br/>
      </w:r>
      <w:r w:rsidRPr="006C097F">
        <w:rPr>
          <w:rFonts w:ascii="Times New Roman" w:eastAsia="Times New Roman" w:hAnsi="Times New Roman" w:cs="Times New Roman"/>
          <w:b/>
          <w:color w:val="auto"/>
          <w:sz w:val="24"/>
          <w:szCs w:val="24"/>
          <w:lang w:val="uk-UA" w:eastAsia="zh-CN"/>
        </w:rPr>
        <w:t>90</w:t>
      </w:r>
      <w:r w:rsidRPr="006C097F">
        <w:rPr>
          <w:rFonts w:ascii="Times New Roman" w:eastAsia="Times New Roman" w:hAnsi="Times New Roman" w:cs="Times New Roman"/>
          <w:color w:val="auto"/>
          <w:sz w:val="24"/>
          <w:szCs w:val="24"/>
          <w:lang w:val="uk-UA" w:eastAsia="zh-CN"/>
        </w:rPr>
        <w:t xml:space="preserve"> днів із дати кінцевого строку подання тендерних пропозицій.</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1178. </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5. Якщо нас визначено переможцем торгів, ми беремо на себе зобов’язання підписати договір про закупівлю відповідно до «Тендерної пропозиції» зазначеної у Додатку 4 до тендерної документації із покупцем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та не раніше ніж через 5 днів з дати оприлюднення в електронній системі закупівель повідомлення про намір укласти договір про закупівлю.</w:t>
      </w:r>
    </w:p>
    <w:p w:rsidR="006129F1" w:rsidRPr="006C097F" w:rsidRDefault="006129F1" w:rsidP="006129F1">
      <w:pPr>
        <w:tabs>
          <w:tab w:val="left" w:pos="540"/>
        </w:tabs>
        <w:suppressAutoHyphens/>
        <w:spacing w:before="120" w:line="240" w:lineRule="auto"/>
        <w:ind w:right="-23" w:firstLine="360"/>
        <w:jc w:val="both"/>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color w:val="auto"/>
          <w:sz w:val="24"/>
          <w:szCs w:val="24"/>
          <w:lang w:val="uk-UA" w:eastAsia="zh-CN"/>
        </w:rPr>
        <w:t xml:space="preserve"> 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129F1" w:rsidRPr="006C097F" w:rsidRDefault="006129F1" w:rsidP="006129F1">
      <w:pPr>
        <w:suppressAutoHyphens/>
        <w:spacing w:before="120" w:line="240" w:lineRule="auto"/>
        <w:jc w:val="both"/>
        <w:rPr>
          <w:rFonts w:ascii="Times New Roman" w:eastAsia="Times New Roman" w:hAnsi="Times New Roman" w:cs="Times New Roman"/>
          <w:b/>
          <w:color w:val="auto"/>
          <w:sz w:val="24"/>
          <w:szCs w:val="24"/>
          <w:u w:val="single"/>
          <w:lang w:val="uk-UA" w:eastAsia="zh-CN"/>
        </w:rPr>
      </w:pPr>
      <w:r w:rsidRPr="006C097F">
        <w:rPr>
          <w:rFonts w:ascii="Times New Roman" w:eastAsia="Times New Roman" w:hAnsi="Times New Roman" w:cs="Times New Roman"/>
          <w:color w:val="auto"/>
          <w:sz w:val="24"/>
          <w:szCs w:val="24"/>
          <w:lang w:val="uk-UA" w:eastAsia="zh-CN"/>
        </w:rPr>
        <w:t xml:space="preserve">      7. Строк надання послуг </w:t>
      </w:r>
      <w:r w:rsidRPr="006C097F">
        <w:rPr>
          <w:rFonts w:ascii="Times New Roman" w:eastAsia="Times New Roman" w:hAnsi="Times New Roman" w:cs="Times New Roman"/>
          <w:b/>
          <w:color w:val="auto"/>
          <w:sz w:val="24"/>
          <w:szCs w:val="24"/>
          <w:u w:val="single"/>
          <w:lang w:val="uk-UA" w:eastAsia="zh-CN"/>
        </w:rPr>
        <w:t>по</w:t>
      </w:r>
      <w:r w:rsidRPr="006C097F">
        <w:rPr>
          <w:rFonts w:ascii="Times New Roman" w:eastAsia="Times New Roman" w:hAnsi="Times New Roman" w:cs="Times New Roman"/>
          <w:b/>
          <w:color w:val="auto"/>
          <w:sz w:val="24"/>
          <w:szCs w:val="24"/>
          <w:u w:val="single"/>
          <w:lang w:val="uk-UA" w:eastAsia="uk-UA"/>
        </w:rPr>
        <w:t xml:space="preserve"> 31.12.2023 р</w:t>
      </w:r>
      <w:r w:rsidRPr="006C097F">
        <w:rPr>
          <w:rFonts w:ascii="Times New Roman" w:eastAsia="Times New Roman" w:hAnsi="Times New Roman" w:cs="Times New Roman"/>
          <w:b/>
          <w:color w:val="auto"/>
          <w:sz w:val="24"/>
          <w:szCs w:val="24"/>
          <w:u w:val="single"/>
          <w:lang w:val="uk-UA" w:eastAsia="zh-CN"/>
        </w:rPr>
        <w:t>. включно.</w:t>
      </w:r>
    </w:p>
    <w:p w:rsidR="006129F1" w:rsidRPr="006C097F" w:rsidRDefault="006129F1" w:rsidP="006129F1">
      <w:pPr>
        <w:suppressAutoHyphens/>
        <w:spacing w:line="240" w:lineRule="auto"/>
        <w:jc w:val="center"/>
        <w:rPr>
          <w:rFonts w:ascii="Times New Roman" w:eastAsia="Times New Roman" w:hAnsi="Times New Roman" w:cs="Times New Roman"/>
          <w:color w:val="auto"/>
          <w:sz w:val="24"/>
          <w:szCs w:val="24"/>
          <w:lang w:val="uk-UA" w:eastAsia="zh-CN"/>
        </w:rPr>
      </w:pPr>
      <w:r w:rsidRPr="006C097F">
        <w:rPr>
          <w:rFonts w:ascii="Times New Roman" w:eastAsia="Times New Roman" w:hAnsi="Times New Roman" w:cs="Times New Roman"/>
          <w:b/>
          <w:i/>
          <w:iCs/>
          <w:color w:val="auto"/>
          <w:sz w:val="24"/>
          <w:szCs w:val="24"/>
          <w:lang w:val="uk-UA" w:eastAsia="zh-CN"/>
        </w:rPr>
        <w:t>Посада, прізвище, ініціали, підпис учасника/уповноваженої особи учасника, завірені печаткою ( у разі наявності).</w:t>
      </w:r>
    </w:p>
    <w:p w:rsidR="006129F1" w:rsidRPr="006C097F" w:rsidRDefault="006129F1" w:rsidP="006129F1">
      <w:pPr>
        <w:suppressAutoHyphens/>
        <w:spacing w:line="240" w:lineRule="auto"/>
        <w:ind w:firstLine="709"/>
        <w:jc w:val="both"/>
        <w:rPr>
          <w:rFonts w:ascii="Times New Roman" w:eastAsia="Times New Roman" w:hAnsi="Times New Roman" w:cs="Times New Roman"/>
          <w:b/>
          <w:i/>
          <w:iCs/>
          <w:color w:val="auto"/>
          <w:sz w:val="24"/>
          <w:szCs w:val="24"/>
          <w:lang w:val="uk-UA" w:eastAsia="zh-CN"/>
        </w:rPr>
      </w:pPr>
      <w:r w:rsidRPr="006C097F">
        <w:rPr>
          <w:rFonts w:ascii="Times New Roman" w:eastAsia="Times New Roman" w:hAnsi="Times New Roman" w:cs="Times New Roman"/>
          <w:i/>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bookmarkStart w:id="0" w:name="_GoBack"/>
      <w:bookmarkEnd w:id="0"/>
    </w:p>
    <w:sectPr w:rsidR="006129F1" w:rsidRPr="006C097F" w:rsidSect="006129F1">
      <w:pgSz w:w="11906" w:h="16838"/>
      <w:pgMar w:top="426"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F1"/>
    <w:rsid w:val="006129F1"/>
    <w:rsid w:val="00DA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A4D3-C6DA-494C-B6AF-9550CDFA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F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Company>Reanimator Extreme Edition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2023-04-24T11:40:00Z</dcterms:created>
  <dcterms:modified xsi:type="dcterms:W3CDTF">2023-04-24T11:40:00Z</dcterms:modified>
</cp:coreProperties>
</file>