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7B8" w:rsidRPr="003C2E05" w:rsidRDefault="001D57B8" w:rsidP="001D57B8">
      <w:pPr>
        <w:suppressAutoHyphens/>
        <w:spacing w:before="480" w:after="240" w:line="240" w:lineRule="auto"/>
        <w:ind w:firstLine="360"/>
        <w:jc w:val="right"/>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b/>
          <w:bCs/>
          <w:sz w:val="24"/>
          <w:szCs w:val="24"/>
          <w:lang w:val="uk-UA" w:eastAsia="zh-CN"/>
        </w:rPr>
        <w:t>ДОДАТОК № 3</w:t>
      </w:r>
    </w:p>
    <w:p w:rsidR="001D57B8" w:rsidRPr="003C2E05" w:rsidRDefault="001D57B8" w:rsidP="001D57B8">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3"/>
          <w:szCs w:val="23"/>
          <w:lang w:val="uk-UA"/>
        </w:rPr>
      </w:pPr>
      <w:r w:rsidRPr="003C2E05">
        <w:rPr>
          <w:rFonts w:ascii="Times New Roman" w:eastAsia="Times New Roman" w:hAnsi="Times New Roman" w:cs="Times New Roman"/>
          <w:b/>
          <w:sz w:val="23"/>
          <w:szCs w:val="23"/>
          <w:lang w:val="uk-UA"/>
        </w:rPr>
        <w:t>ІНФОРМАЦІЯ ПРО ВІДСУТНІСТЬ ПІДСТАВ, ВИЗНАЧЕНИХ У ПУНКТІ 44 ПОСТАНОВИ 1178</w:t>
      </w:r>
    </w:p>
    <w:p w:rsidR="001D57B8" w:rsidRPr="003C2E05" w:rsidRDefault="001D57B8" w:rsidP="001D57B8">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3"/>
          <w:szCs w:val="23"/>
          <w:lang w:val="uk-UA"/>
        </w:rPr>
      </w:pPr>
    </w:p>
    <w:p w:rsidR="001D57B8" w:rsidRPr="003C2E05" w:rsidRDefault="001D57B8" w:rsidP="001D57B8">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3"/>
          <w:szCs w:val="23"/>
          <w:lang w:val="uk-UA"/>
        </w:rPr>
      </w:pPr>
      <w:r w:rsidRPr="003C2E05">
        <w:rPr>
          <w:rFonts w:ascii="Times New Roman" w:eastAsia="Times New Roman" w:hAnsi="Times New Roman" w:cs="Times New Roman"/>
          <w:b/>
          <w:sz w:val="23"/>
          <w:szCs w:val="23"/>
          <w:u w:val="single"/>
          <w:lang w:val="uk-UA"/>
        </w:rPr>
        <w:t>Перелік документів та інформації УЧАСНИКА під час подання тендерної пропозиції, що підтверджують відсутність підстав, визначених пунктом 44 постанови 1178</w:t>
      </w:r>
      <w:r w:rsidRPr="003C2E05">
        <w:rPr>
          <w:rFonts w:ascii="Times New Roman" w:eastAsia="Times New Roman" w:hAnsi="Times New Roman" w:cs="Times New Roman"/>
          <w:b/>
          <w:sz w:val="23"/>
          <w:szCs w:val="23"/>
          <w:lang w:val="uk-UA"/>
        </w:rPr>
        <w:t>:</w:t>
      </w:r>
    </w:p>
    <w:p w:rsidR="001D57B8" w:rsidRPr="003C2E05" w:rsidRDefault="001D57B8" w:rsidP="001D57B8">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3"/>
          <w:szCs w:val="23"/>
          <w:lang w:val="uk-UA"/>
        </w:rPr>
      </w:pPr>
    </w:p>
    <w:p w:rsidR="001D57B8" w:rsidRPr="003C2E05" w:rsidRDefault="001D57B8" w:rsidP="001D57B8">
      <w:pPr>
        <w:spacing w:before="20" w:after="20" w:line="240" w:lineRule="auto"/>
        <w:ind w:firstLine="720"/>
        <w:jc w:val="both"/>
        <w:rPr>
          <w:rFonts w:ascii="Times New Roman" w:eastAsia="Times New Roman" w:hAnsi="Times New Roman" w:cs="Times New Roman"/>
          <w:sz w:val="23"/>
          <w:szCs w:val="23"/>
          <w:lang w:val="uk-UA" w:eastAsia="en-US"/>
        </w:rPr>
      </w:pPr>
      <w:r w:rsidRPr="003C2E05">
        <w:rPr>
          <w:rFonts w:ascii="Times New Roman" w:eastAsia="Times New Roman" w:hAnsi="Times New Roman" w:cs="Times New Roman"/>
          <w:sz w:val="23"/>
          <w:szCs w:val="23"/>
          <w:lang w:val="uk-UA"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C2E05">
        <w:rPr>
          <w:rFonts w:ascii="Times New Roman" w:eastAsia="Times New Roman" w:hAnsi="Times New Roman" w:cs="Times New Roman"/>
          <w:sz w:val="23"/>
          <w:szCs w:val="23"/>
          <w:lang w:val="uk-UA" w:eastAsia="en-US"/>
        </w:rPr>
        <w:t>закупівель</w:t>
      </w:r>
      <w:proofErr w:type="spellEnd"/>
      <w:r w:rsidRPr="003C2E05">
        <w:rPr>
          <w:rFonts w:ascii="Times New Roman" w:eastAsia="Times New Roman" w:hAnsi="Times New Roman" w:cs="Times New Roman"/>
          <w:sz w:val="23"/>
          <w:szCs w:val="23"/>
          <w:lang w:val="uk-UA" w:eastAsia="en-US"/>
        </w:rPr>
        <w:t xml:space="preserve"> будь-яких документів, що підтверджують відсутність підстав, визначених у пункті 44 постанови 1178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постанови 1178.</w:t>
      </w:r>
    </w:p>
    <w:p w:rsidR="001D57B8" w:rsidRPr="003C2E05" w:rsidRDefault="001D57B8" w:rsidP="001D57B8">
      <w:pPr>
        <w:spacing w:before="20" w:after="20" w:line="240" w:lineRule="auto"/>
        <w:ind w:firstLine="720"/>
        <w:jc w:val="both"/>
        <w:rPr>
          <w:rFonts w:ascii="Times New Roman" w:eastAsia="Times New Roman" w:hAnsi="Times New Roman" w:cs="Times New Roman"/>
          <w:sz w:val="23"/>
          <w:szCs w:val="23"/>
          <w:lang w:val="uk-UA" w:eastAsia="en-US"/>
        </w:rPr>
      </w:pPr>
      <w:r w:rsidRPr="003C2E05">
        <w:rPr>
          <w:rFonts w:ascii="Times New Roman" w:eastAsia="Times New Roman" w:hAnsi="Times New Roman" w:cs="Times New Roman"/>
          <w:sz w:val="23"/>
          <w:szCs w:val="23"/>
          <w:lang w:val="uk-UA" w:eastAsia="en-US"/>
        </w:rPr>
        <w:t xml:space="preserve">Учасник процедури закупівлі підтверджує відсутність підстав, зазначених в пункті 44 постанови 1178 (крім абзацу чотирнадцятого цього пункту), шляхом самостійного декларування відсутності таких підстав в електронній системі </w:t>
      </w:r>
      <w:proofErr w:type="spellStart"/>
      <w:r w:rsidRPr="003C2E05">
        <w:rPr>
          <w:rFonts w:ascii="Times New Roman" w:eastAsia="Times New Roman" w:hAnsi="Times New Roman" w:cs="Times New Roman"/>
          <w:sz w:val="23"/>
          <w:szCs w:val="23"/>
          <w:lang w:val="uk-UA" w:eastAsia="en-US"/>
        </w:rPr>
        <w:t>закупівель</w:t>
      </w:r>
      <w:proofErr w:type="spellEnd"/>
      <w:r w:rsidRPr="003C2E05">
        <w:rPr>
          <w:rFonts w:ascii="Times New Roman" w:eastAsia="Times New Roman" w:hAnsi="Times New Roman" w:cs="Times New Roman"/>
          <w:sz w:val="23"/>
          <w:szCs w:val="23"/>
          <w:lang w:val="uk-UA" w:eastAsia="en-US"/>
        </w:rPr>
        <w:t xml:space="preserve"> під час подання тендерної пропозиції.</w:t>
      </w:r>
    </w:p>
    <w:p w:rsidR="001D57B8" w:rsidRPr="003C2E05" w:rsidRDefault="001D57B8" w:rsidP="001D57B8">
      <w:pPr>
        <w:spacing w:before="20" w:after="20" w:line="240" w:lineRule="auto"/>
        <w:ind w:firstLine="720"/>
        <w:jc w:val="both"/>
        <w:rPr>
          <w:rFonts w:ascii="Times New Roman" w:eastAsia="Times New Roman" w:hAnsi="Times New Roman" w:cs="Times New Roman"/>
          <w:sz w:val="23"/>
          <w:szCs w:val="23"/>
          <w:lang w:val="uk-UA" w:eastAsia="en-US"/>
        </w:rPr>
      </w:pPr>
      <w:r w:rsidRPr="003C2E05">
        <w:rPr>
          <w:rFonts w:ascii="Times New Roman" w:eastAsia="Times New Roman" w:hAnsi="Times New Roman" w:cs="Times New Roman"/>
          <w:sz w:val="23"/>
          <w:szCs w:val="23"/>
          <w:lang w:val="uk-UA" w:eastAsia="en-US"/>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постанови 1178.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D57B8" w:rsidRPr="003C2E05" w:rsidRDefault="001D57B8" w:rsidP="001D57B8">
      <w:pPr>
        <w:spacing w:before="20" w:after="20" w:line="240" w:lineRule="auto"/>
        <w:ind w:firstLine="720"/>
        <w:jc w:val="both"/>
        <w:rPr>
          <w:rFonts w:ascii="Times New Roman" w:eastAsia="Times New Roman" w:hAnsi="Times New Roman" w:cs="Times New Roman"/>
          <w:sz w:val="23"/>
          <w:szCs w:val="23"/>
          <w:lang w:val="uk-UA" w:eastAsia="en-US"/>
        </w:rPr>
      </w:pPr>
    </w:p>
    <w:p w:rsidR="001D57B8" w:rsidRPr="003C2E05" w:rsidRDefault="001D57B8" w:rsidP="001D57B8">
      <w:pPr>
        <w:spacing w:before="20" w:after="20" w:line="240" w:lineRule="auto"/>
        <w:jc w:val="center"/>
        <w:rPr>
          <w:rFonts w:ascii="Times New Roman" w:eastAsia="Times New Roman" w:hAnsi="Times New Roman" w:cs="Times New Roman"/>
          <w:b/>
          <w:sz w:val="23"/>
          <w:szCs w:val="23"/>
          <w:u w:val="single"/>
          <w:lang w:val="uk-UA" w:eastAsia="en-US"/>
        </w:rPr>
      </w:pPr>
      <w:r w:rsidRPr="003C2E05">
        <w:rPr>
          <w:rFonts w:ascii="Times New Roman" w:eastAsia="Times New Roman" w:hAnsi="Times New Roman" w:cs="Times New Roman"/>
          <w:b/>
          <w:sz w:val="23"/>
          <w:szCs w:val="23"/>
          <w:u w:val="single"/>
          <w:lang w:val="uk-UA" w:eastAsia="en-US"/>
        </w:rPr>
        <w:t>Перелік документів та інформації для підтвердження відповідності ПЕРЕМОЖЦЯ вимогам, визначеним у пункті 44 постанови 1178:</w:t>
      </w:r>
    </w:p>
    <w:p w:rsidR="001D57B8" w:rsidRPr="003C2E05" w:rsidRDefault="001D57B8" w:rsidP="001D57B8">
      <w:pPr>
        <w:spacing w:before="20" w:after="20" w:line="240" w:lineRule="auto"/>
        <w:ind w:firstLine="720"/>
        <w:jc w:val="both"/>
        <w:rPr>
          <w:rFonts w:ascii="Times New Roman" w:eastAsia="Times New Roman" w:hAnsi="Times New Roman" w:cs="Times New Roman"/>
          <w:sz w:val="23"/>
          <w:szCs w:val="23"/>
          <w:lang w:val="uk-UA" w:eastAsia="en-US"/>
        </w:rPr>
      </w:pPr>
    </w:p>
    <w:p w:rsidR="001D57B8" w:rsidRPr="003C2E05" w:rsidRDefault="001D57B8" w:rsidP="001D57B8">
      <w:pPr>
        <w:spacing w:before="20" w:after="20" w:line="240" w:lineRule="auto"/>
        <w:ind w:firstLine="720"/>
        <w:jc w:val="both"/>
        <w:rPr>
          <w:rFonts w:ascii="Times New Roman" w:eastAsia="Times New Roman" w:hAnsi="Times New Roman" w:cs="Times New Roman"/>
          <w:sz w:val="23"/>
          <w:szCs w:val="23"/>
          <w:lang w:val="uk-UA"/>
        </w:rPr>
      </w:pPr>
      <w:r w:rsidRPr="003C2E05">
        <w:rPr>
          <w:rFonts w:ascii="Times New Roman" w:eastAsia="Times New Roman" w:hAnsi="Times New Roman" w:cs="Times New Roman"/>
          <w:sz w:val="23"/>
          <w:szCs w:val="23"/>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C2E05">
        <w:rPr>
          <w:rFonts w:ascii="Times New Roman" w:eastAsia="Times New Roman" w:hAnsi="Times New Roman" w:cs="Times New Roman"/>
          <w:sz w:val="23"/>
          <w:szCs w:val="23"/>
          <w:lang w:val="uk-UA"/>
        </w:rPr>
        <w:t>закупівель</w:t>
      </w:r>
      <w:proofErr w:type="spellEnd"/>
      <w:r w:rsidRPr="003C2E05">
        <w:rPr>
          <w:rFonts w:ascii="Times New Roman" w:eastAsia="Times New Roman" w:hAnsi="Times New Roman" w:cs="Times New Roman"/>
          <w:sz w:val="23"/>
          <w:szCs w:val="23"/>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C2E05">
        <w:rPr>
          <w:rFonts w:ascii="Times New Roman" w:eastAsia="Times New Roman" w:hAnsi="Times New Roman" w:cs="Times New Roman"/>
          <w:sz w:val="23"/>
          <w:szCs w:val="23"/>
          <w:lang w:val="uk-UA"/>
        </w:rPr>
        <w:t>закупівель</w:t>
      </w:r>
      <w:proofErr w:type="spellEnd"/>
      <w:r w:rsidRPr="003C2E05">
        <w:rPr>
          <w:rFonts w:ascii="Times New Roman" w:eastAsia="Times New Roman" w:hAnsi="Times New Roman" w:cs="Times New Roman"/>
          <w:sz w:val="23"/>
          <w:szCs w:val="23"/>
          <w:lang w:val="uk-UA"/>
        </w:rPr>
        <w:t xml:space="preserve"> документи, що підтверджують відсутність підстав, зазначених у</w:t>
      </w:r>
      <w:r w:rsidRPr="003C2E05">
        <w:rPr>
          <w:rFonts w:ascii="Times New Roman" w:eastAsia="Times New Roman" w:hAnsi="Times New Roman" w:cs="Times New Roman"/>
          <w:sz w:val="23"/>
          <w:szCs w:val="23"/>
        </w:rPr>
        <w:t> </w:t>
      </w:r>
      <w:hyperlink r:id="rId4" w:anchor="n401" w:history="1">
        <w:r w:rsidRPr="003C2E05">
          <w:rPr>
            <w:rFonts w:ascii="Times New Roman" w:eastAsia="Times New Roman" w:hAnsi="Times New Roman" w:cs="Times New Roman"/>
            <w:sz w:val="23"/>
            <w:szCs w:val="23"/>
            <w:lang w:val="uk-UA"/>
          </w:rPr>
          <w:t>підпунктах 3</w:t>
        </w:r>
      </w:hyperlink>
      <w:r w:rsidRPr="003C2E05">
        <w:rPr>
          <w:rFonts w:ascii="Times New Roman" w:eastAsia="Times New Roman" w:hAnsi="Times New Roman" w:cs="Times New Roman"/>
          <w:sz w:val="23"/>
          <w:szCs w:val="23"/>
          <w:lang w:val="uk-UA"/>
        </w:rPr>
        <w:t>,</w:t>
      </w:r>
      <w:r w:rsidRPr="003C2E05">
        <w:rPr>
          <w:rFonts w:ascii="Times New Roman" w:eastAsia="Times New Roman" w:hAnsi="Times New Roman" w:cs="Times New Roman"/>
          <w:sz w:val="23"/>
          <w:szCs w:val="23"/>
        </w:rPr>
        <w:t> </w:t>
      </w:r>
      <w:hyperlink r:id="rId5" w:anchor="n403" w:history="1">
        <w:r w:rsidRPr="003C2E05">
          <w:rPr>
            <w:rFonts w:ascii="Times New Roman" w:eastAsia="Times New Roman" w:hAnsi="Times New Roman" w:cs="Times New Roman"/>
            <w:sz w:val="23"/>
            <w:szCs w:val="23"/>
            <w:lang w:val="uk-UA"/>
          </w:rPr>
          <w:t>5</w:t>
        </w:r>
      </w:hyperlink>
      <w:r w:rsidRPr="003C2E05">
        <w:rPr>
          <w:rFonts w:ascii="Times New Roman" w:eastAsia="Times New Roman" w:hAnsi="Times New Roman" w:cs="Times New Roman"/>
          <w:sz w:val="23"/>
          <w:szCs w:val="23"/>
          <w:lang w:val="uk-UA"/>
        </w:rPr>
        <w:t>,</w:t>
      </w:r>
      <w:r w:rsidRPr="003C2E05">
        <w:rPr>
          <w:rFonts w:ascii="Times New Roman" w:eastAsia="Times New Roman" w:hAnsi="Times New Roman" w:cs="Times New Roman"/>
          <w:sz w:val="23"/>
          <w:szCs w:val="23"/>
        </w:rPr>
        <w:t> </w:t>
      </w:r>
      <w:hyperlink r:id="rId6" w:anchor="n404" w:history="1">
        <w:r w:rsidRPr="003C2E05">
          <w:rPr>
            <w:rFonts w:ascii="Times New Roman" w:eastAsia="Times New Roman" w:hAnsi="Times New Roman" w:cs="Times New Roman"/>
            <w:sz w:val="23"/>
            <w:szCs w:val="23"/>
            <w:lang w:val="uk-UA"/>
          </w:rPr>
          <w:t>6</w:t>
        </w:r>
      </w:hyperlink>
      <w:r w:rsidRPr="003C2E05">
        <w:rPr>
          <w:rFonts w:ascii="Times New Roman" w:eastAsia="Times New Roman" w:hAnsi="Times New Roman" w:cs="Times New Roman"/>
          <w:sz w:val="23"/>
          <w:szCs w:val="23"/>
        </w:rPr>
        <w:t> </w:t>
      </w:r>
      <w:r w:rsidRPr="003C2E05">
        <w:rPr>
          <w:rFonts w:ascii="Times New Roman" w:eastAsia="Times New Roman" w:hAnsi="Times New Roman" w:cs="Times New Roman"/>
          <w:sz w:val="23"/>
          <w:szCs w:val="23"/>
          <w:lang w:val="uk-UA"/>
        </w:rPr>
        <w:t>і</w:t>
      </w:r>
      <w:r w:rsidRPr="003C2E05">
        <w:rPr>
          <w:rFonts w:ascii="Times New Roman" w:eastAsia="Times New Roman" w:hAnsi="Times New Roman" w:cs="Times New Roman"/>
          <w:sz w:val="23"/>
          <w:szCs w:val="23"/>
        </w:rPr>
        <w:t> </w:t>
      </w:r>
      <w:hyperlink r:id="rId7" w:anchor="n410" w:history="1">
        <w:r w:rsidRPr="003C2E05">
          <w:rPr>
            <w:rFonts w:ascii="Times New Roman" w:eastAsia="Times New Roman" w:hAnsi="Times New Roman" w:cs="Times New Roman"/>
            <w:sz w:val="23"/>
            <w:szCs w:val="23"/>
            <w:lang w:val="uk-UA"/>
          </w:rPr>
          <w:t>12</w:t>
        </w:r>
      </w:hyperlink>
      <w:r w:rsidRPr="003C2E05">
        <w:rPr>
          <w:rFonts w:ascii="Times New Roman" w:eastAsia="Times New Roman" w:hAnsi="Times New Roman" w:cs="Times New Roman"/>
          <w:sz w:val="23"/>
          <w:szCs w:val="23"/>
        </w:rPr>
        <w:t> </w:t>
      </w:r>
      <w:r w:rsidRPr="003C2E05">
        <w:rPr>
          <w:rFonts w:ascii="Times New Roman" w:eastAsia="Times New Roman" w:hAnsi="Times New Roman" w:cs="Times New Roman"/>
          <w:sz w:val="23"/>
          <w:szCs w:val="23"/>
          <w:lang w:val="uk-UA"/>
        </w:rPr>
        <w:t>та в</w:t>
      </w:r>
      <w:r w:rsidRPr="003C2E05">
        <w:rPr>
          <w:rFonts w:ascii="Times New Roman" w:eastAsia="Times New Roman" w:hAnsi="Times New Roman" w:cs="Times New Roman"/>
          <w:sz w:val="23"/>
          <w:szCs w:val="23"/>
        </w:rPr>
        <w:t> </w:t>
      </w:r>
      <w:hyperlink r:id="rId8" w:anchor="n411" w:history="1">
        <w:r w:rsidRPr="003C2E05">
          <w:rPr>
            <w:rFonts w:ascii="Times New Roman" w:eastAsia="Times New Roman" w:hAnsi="Times New Roman" w:cs="Times New Roman"/>
            <w:sz w:val="23"/>
            <w:szCs w:val="23"/>
            <w:lang w:val="uk-UA"/>
          </w:rPr>
          <w:t>абзаці чотирнадцятому</w:t>
        </w:r>
      </w:hyperlink>
      <w:r w:rsidRPr="003C2E05">
        <w:rPr>
          <w:rFonts w:ascii="Times New Roman" w:eastAsia="Times New Roman" w:hAnsi="Times New Roman" w:cs="Times New Roman"/>
          <w:sz w:val="23"/>
          <w:szCs w:val="23"/>
        </w:rPr>
        <w:t> </w:t>
      </w:r>
      <w:r w:rsidRPr="003C2E05">
        <w:rPr>
          <w:rFonts w:ascii="Times New Roman" w:eastAsia="Times New Roman" w:hAnsi="Times New Roman" w:cs="Times New Roman"/>
          <w:sz w:val="23"/>
          <w:szCs w:val="23"/>
          <w:lang w:val="uk-UA"/>
        </w:rPr>
        <w:t>пункту 44 постанови 1178.</w:t>
      </w:r>
    </w:p>
    <w:p w:rsidR="001D57B8" w:rsidRPr="003C2E05" w:rsidRDefault="001D57B8" w:rsidP="001D57B8">
      <w:pPr>
        <w:spacing w:before="20" w:after="20" w:line="240" w:lineRule="auto"/>
        <w:ind w:firstLine="720"/>
        <w:jc w:val="both"/>
        <w:rPr>
          <w:rFonts w:ascii="Times New Roman" w:eastAsia="Times New Roman" w:hAnsi="Times New Roman" w:cs="Times New Roman"/>
          <w:sz w:val="23"/>
          <w:szCs w:val="23"/>
          <w:lang w:val="uk-UA"/>
        </w:rPr>
      </w:pPr>
    </w:p>
    <w:p w:rsidR="001D57B8" w:rsidRPr="003C2E05" w:rsidRDefault="001D57B8" w:rsidP="001D57B8">
      <w:pPr>
        <w:spacing w:before="20" w:after="20" w:line="240" w:lineRule="auto"/>
        <w:ind w:firstLine="720"/>
        <w:jc w:val="both"/>
        <w:rPr>
          <w:rFonts w:ascii="Times New Roman" w:eastAsia="Times New Roman" w:hAnsi="Times New Roman" w:cs="Times New Roman"/>
          <w:b/>
          <w:sz w:val="23"/>
          <w:szCs w:val="23"/>
          <w:lang w:val="uk-UA"/>
        </w:rPr>
      </w:pPr>
      <w:r w:rsidRPr="003C2E05">
        <w:rPr>
          <w:rFonts w:ascii="Times New Roman" w:eastAsia="Times New Roman" w:hAnsi="Times New Roman" w:cs="Times New Roman"/>
          <w:b/>
          <w:sz w:val="23"/>
          <w:szCs w:val="23"/>
          <w:lang w:val="uk-UA"/>
        </w:rPr>
        <w:t>Документи, які надаються  ПЕРЕМОЖЦЕМ (юридичною особою):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4128"/>
        <w:gridCol w:w="4525"/>
      </w:tblGrid>
      <w:tr w:rsidR="001D57B8" w:rsidRPr="003C2E05" w:rsidTr="0081309F">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1D57B8" w:rsidRPr="003C2E05" w:rsidRDefault="001D57B8" w:rsidP="0081309F">
            <w:pPr>
              <w:spacing w:line="240" w:lineRule="auto"/>
              <w:jc w:val="center"/>
              <w:rPr>
                <w:rFonts w:ascii="Times New Roman" w:eastAsia="Times New Roman" w:hAnsi="Times New Roman" w:cs="Times New Roman"/>
                <w:b/>
                <w:sz w:val="20"/>
                <w:szCs w:val="20"/>
                <w:lang w:val="uk-UA" w:eastAsia="uk-UA"/>
              </w:rPr>
            </w:pPr>
            <w:r w:rsidRPr="003C2E05">
              <w:rPr>
                <w:rFonts w:ascii="Times New Roman" w:eastAsia="Calibri" w:hAnsi="Times New Roman" w:cs="Times New Roman"/>
                <w:b/>
                <w:sz w:val="20"/>
                <w:szCs w:val="20"/>
                <w:lang w:val="uk-UA" w:eastAsia="uk-UA"/>
              </w:rPr>
              <w:t>№</w:t>
            </w:r>
          </w:p>
          <w:p w:rsidR="001D57B8" w:rsidRPr="003C2E05" w:rsidRDefault="001D57B8" w:rsidP="0081309F">
            <w:pPr>
              <w:spacing w:line="240" w:lineRule="auto"/>
              <w:jc w:val="center"/>
              <w:rPr>
                <w:rFonts w:ascii="Times New Roman" w:eastAsia="Times New Roman" w:hAnsi="Times New Roman" w:cs="Times New Roman"/>
                <w:b/>
                <w:sz w:val="20"/>
                <w:szCs w:val="20"/>
                <w:lang w:val="uk-UA" w:eastAsia="uk-UA"/>
              </w:rPr>
            </w:pPr>
            <w:r w:rsidRPr="003C2E05">
              <w:rPr>
                <w:rFonts w:ascii="Times New Roman" w:eastAsia="Calibri" w:hAnsi="Times New Roman" w:cs="Times New Roman"/>
                <w:b/>
                <w:sz w:val="20"/>
                <w:szCs w:val="20"/>
                <w:lang w:val="uk-UA" w:eastAsia="uk-UA"/>
              </w:rPr>
              <w:t>з/п</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1D57B8" w:rsidRPr="003C2E05" w:rsidRDefault="001D57B8" w:rsidP="0081309F">
            <w:pPr>
              <w:spacing w:line="240" w:lineRule="auto"/>
              <w:jc w:val="center"/>
              <w:rPr>
                <w:rFonts w:ascii="Times New Roman" w:eastAsia="Times New Roman" w:hAnsi="Times New Roman" w:cs="Times New Roman"/>
                <w:b/>
                <w:sz w:val="20"/>
                <w:szCs w:val="20"/>
                <w:lang w:val="uk-UA" w:eastAsia="uk-UA"/>
              </w:rPr>
            </w:pPr>
            <w:r w:rsidRPr="003C2E05">
              <w:rPr>
                <w:rFonts w:ascii="Times New Roman" w:eastAsia="Calibri" w:hAnsi="Times New Roman" w:cs="Times New Roman"/>
                <w:b/>
                <w:sz w:val="20"/>
                <w:szCs w:val="20"/>
                <w:lang w:val="uk-UA" w:eastAsia="uk-UA"/>
              </w:rPr>
              <w:t>Вимоги згідно пункту 44 постанови 1178</w:t>
            </w:r>
          </w:p>
        </w:tc>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1D57B8" w:rsidRPr="003C2E05" w:rsidRDefault="001D57B8" w:rsidP="0081309F">
            <w:pPr>
              <w:spacing w:line="240" w:lineRule="auto"/>
              <w:jc w:val="center"/>
              <w:rPr>
                <w:rFonts w:ascii="Times New Roman" w:eastAsia="Times New Roman" w:hAnsi="Times New Roman" w:cs="Times New Roman"/>
                <w:b/>
                <w:sz w:val="20"/>
                <w:szCs w:val="20"/>
                <w:lang w:val="uk-UA" w:eastAsia="uk-UA"/>
              </w:rPr>
            </w:pPr>
            <w:r w:rsidRPr="003C2E05">
              <w:rPr>
                <w:rFonts w:ascii="Times New Roman" w:eastAsia="Calibri" w:hAnsi="Times New Roman" w:cs="Times New Roman"/>
                <w:b/>
                <w:sz w:val="20"/>
                <w:szCs w:val="20"/>
                <w:lang w:val="uk-UA" w:eastAsia="uk-UA"/>
              </w:rPr>
              <w:t>Переможець торгів на виконання вимоги згідно пункту  44 постанови 1178 (підтвердження відсутності підстав) повинен надати таку інформацію:</w:t>
            </w:r>
          </w:p>
        </w:tc>
      </w:tr>
      <w:tr w:rsidR="001D57B8" w:rsidRPr="003C2E05" w:rsidTr="0081309F">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1D57B8" w:rsidRPr="003C2E05" w:rsidRDefault="001D57B8" w:rsidP="0081309F">
            <w:pPr>
              <w:spacing w:line="240" w:lineRule="auto"/>
              <w:jc w:val="center"/>
              <w:rPr>
                <w:rFonts w:ascii="Times New Roman" w:eastAsia="Times New Roman" w:hAnsi="Times New Roman" w:cs="Times New Roman"/>
                <w:lang w:val="uk-UA" w:eastAsia="uk-UA"/>
              </w:rPr>
            </w:pPr>
            <w:r w:rsidRPr="003C2E05">
              <w:rPr>
                <w:rFonts w:ascii="Times New Roman" w:eastAsia="Calibri" w:hAnsi="Times New Roman" w:cs="Times New Roman"/>
                <w:lang w:val="uk-UA" w:eastAsia="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1D57B8" w:rsidRPr="003C2E05" w:rsidRDefault="001D57B8" w:rsidP="0081309F">
            <w:pPr>
              <w:spacing w:line="240" w:lineRule="auto"/>
              <w:rPr>
                <w:rFonts w:ascii="Times New Roman" w:eastAsia="Times New Roman" w:hAnsi="Times New Roman" w:cs="Times New Roman"/>
                <w:b/>
                <w:lang w:val="uk-UA" w:eastAsia="uk-UA"/>
              </w:rPr>
            </w:pPr>
            <w:r w:rsidRPr="003C2E05">
              <w:rPr>
                <w:rFonts w:ascii="Times New Roman" w:eastAsia="Calibri" w:hAnsi="Times New Roman" w:cs="Times New Roman"/>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C2E05">
              <w:rPr>
                <w:rFonts w:ascii="Times New Roman" w:eastAsia="Calibri" w:hAnsi="Times New Roman" w:cs="Times New Roman"/>
                <w:b/>
                <w:lang w:val="uk-UA" w:eastAsia="uk-UA"/>
              </w:rPr>
              <w:t>(підпункт 3 пункт 44 Особливостей)</w:t>
            </w:r>
          </w:p>
        </w:tc>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1D57B8" w:rsidRPr="003C2E05" w:rsidRDefault="001D57B8" w:rsidP="0081309F">
            <w:pPr>
              <w:spacing w:line="240" w:lineRule="auto"/>
              <w:jc w:val="both"/>
              <w:rPr>
                <w:rFonts w:ascii="Times New Roman" w:eastAsia="Times New Roman" w:hAnsi="Times New Roman" w:cs="Times New Roman"/>
                <w:lang w:val="uk-UA" w:eastAsia="uk-UA"/>
              </w:rPr>
            </w:pPr>
            <w:r w:rsidRPr="003C2E05">
              <w:rPr>
                <w:rFonts w:ascii="Times New Roman" w:eastAsia="Calibri" w:hAnsi="Times New Roman" w:cs="Times New Roman"/>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3C2E05">
              <w:rPr>
                <w:rFonts w:ascii="Times New Roman" w:eastAsia="Calibri" w:hAnsi="Times New Roman" w:cs="Times New Roman"/>
                <w:lang w:val="uk-UA" w:eastAsia="uk-UA"/>
              </w:rPr>
              <w:t>вебресурсі</w:t>
            </w:r>
            <w:proofErr w:type="spellEnd"/>
            <w:r w:rsidRPr="003C2E05">
              <w:rPr>
                <w:rFonts w:ascii="Times New Roman" w:eastAsia="Calibri" w:hAnsi="Times New Roman" w:cs="Times New Roman"/>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D57B8" w:rsidRPr="003C2E05" w:rsidTr="0081309F">
        <w:trPr>
          <w:trHeight w:val="225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1D57B8" w:rsidRPr="003C2E05" w:rsidRDefault="001D57B8" w:rsidP="0081309F">
            <w:pPr>
              <w:spacing w:line="240" w:lineRule="auto"/>
              <w:jc w:val="center"/>
              <w:rPr>
                <w:rFonts w:ascii="Times New Roman" w:eastAsia="Times New Roman" w:hAnsi="Times New Roman" w:cs="Times New Roman"/>
                <w:lang w:val="uk-UA" w:eastAsia="uk-UA"/>
              </w:rPr>
            </w:pPr>
            <w:r w:rsidRPr="003C2E05">
              <w:rPr>
                <w:rFonts w:ascii="Times New Roman" w:eastAsia="Calibri" w:hAnsi="Times New Roman" w:cs="Times New Roman"/>
                <w:lang w:val="uk-UA" w:eastAsia="uk-UA"/>
              </w:rPr>
              <w:lastRenderedPageBreak/>
              <w:t>2</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1D57B8" w:rsidRPr="003C2E05" w:rsidRDefault="001D57B8" w:rsidP="0081309F">
            <w:pPr>
              <w:spacing w:line="240" w:lineRule="auto"/>
              <w:rPr>
                <w:rFonts w:ascii="Times New Roman" w:eastAsia="Calibri" w:hAnsi="Times New Roman" w:cs="Times New Roman"/>
                <w:lang w:val="uk-UA" w:eastAsia="uk-UA"/>
              </w:rPr>
            </w:pPr>
            <w:r w:rsidRPr="003C2E05">
              <w:rPr>
                <w:rFonts w:ascii="Times New Roman" w:eastAsia="Calibri" w:hAnsi="Times New Roman" w:cs="Times New Roman"/>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w:t>
            </w:r>
            <w:bookmarkStart w:id="0" w:name="_GoBack"/>
            <w:bookmarkEnd w:id="0"/>
            <w:r w:rsidRPr="003C2E05">
              <w:rPr>
                <w:rFonts w:ascii="Times New Roman" w:eastAsia="Calibri" w:hAnsi="Times New Roman" w:cs="Times New Roman"/>
                <w:lang w:val="uk-UA" w:eastAsia="uk-UA"/>
              </w:rPr>
              <w:t>миванням коштів), судимість з якого не знято або не погашено в установленому законом порядку</w:t>
            </w:r>
          </w:p>
          <w:p w:rsidR="001D57B8" w:rsidRPr="003C2E05" w:rsidRDefault="001D57B8" w:rsidP="0081309F">
            <w:pPr>
              <w:spacing w:line="240" w:lineRule="auto"/>
              <w:rPr>
                <w:rFonts w:ascii="Times New Roman" w:eastAsia="Times New Roman" w:hAnsi="Times New Roman" w:cs="Times New Roman"/>
                <w:lang w:val="uk-UA" w:eastAsia="uk-UA"/>
              </w:rPr>
            </w:pPr>
            <w:r w:rsidRPr="003C2E05">
              <w:rPr>
                <w:rFonts w:ascii="Times New Roman" w:eastAsia="Calibri" w:hAnsi="Times New Roman" w:cs="Times New Roman"/>
                <w:lang w:val="uk-UA" w:eastAsia="uk-UA"/>
              </w:rPr>
              <w:t>(</w:t>
            </w:r>
            <w:r w:rsidRPr="003C2E05">
              <w:rPr>
                <w:rFonts w:ascii="Times New Roman" w:eastAsia="Calibri" w:hAnsi="Times New Roman" w:cs="Times New Roman"/>
                <w:b/>
                <w:lang w:val="uk-UA" w:eastAsia="uk-UA"/>
              </w:rPr>
              <w:t>підпункт 6 пункт 44 постанови 1178</w:t>
            </w:r>
            <w:r w:rsidRPr="003C2E05">
              <w:rPr>
                <w:rFonts w:ascii="Times New Roman" w:eastAsia="Calibri" w:hAnsi="Times New Roman" w:cs="Times New Roman"/>
                <w:lang w:val="uk-UA" w:eastAsia="uk-UA"/>
              </w:rPr>
              <w:t>)</w:t>
            </w:r>
          </w:p>
        </w:tc>
        <w:tc>
          <w:tcPr>
            <w:tcW w:w="4672" w:type="dxa"/>
            <w:vMerge w:val="restart"/>
            <w:tcBorders>
              <w:top w:val="single" w:sz="4" w:space="0" w:color="auto"/>
              <w:left w:val="single" w:sz="4" w:space="0" w:color="auto"/>
              <w:bottom w:val="single" w:sz="4" w:space="0" w:color="auto"/>
              <w:right w:val="single" w:sz="4" w:space="0" w:color="auto"/>
            </w:tcBorders>
            <w:shd w:val="clear" w:color="auto" w:fill="auto"/>
          </w:tcPr>
          <w:p w:rsidR="001D57B8" w:rsidRPr="003C2E05" w:rsidRDefault="001D57B8" w:rsidP="0081309F">
            <w:pPr>
              <w:spacing w:line="240" w:lineRule="auto"/>
              <w:jc w:val="both"/>
              <w:rPr>
                <w:rFonts w:ascii="Times New Roman" w:eastAsia="Times New Roman" w:hAnsi="Times New Roman" w:cs="Times New Roman"/>
                <w:lang w:val="uk-UA" w:eastAsia="uk-UA"/>
              </w:rPr>
            </w:pPr>
            <w:r w:rsidRPr="003C2E05">
              <w:rPr>
                <w:rFonts w:ascii="Times New Roman" w:eastAsia="Calibri" w:hAnsi="Times New Roman" w:cs="Times New Roman"/>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1D57B8" w:rsidRPr="003C2E05" w:rsidRDefault="001D57B8" w:rsidP="0081309F">
            <w:pPr>
              <w:spacing w:line="240" w:lineRule="auto"/>
              <w:jc w:val="both"/>
              <w:rPr>
                <w:rFonts w:ascii="Times New Roman" w:eastAsia="Calibri" w:hAnsi="Times New Roman" w:cs="Times New Roman"/>
                <w:lang w:val="uk-UA" w:eastAsia="uk-UA"/>
              </w:rPr>
            </w:pPr>
          </w:p>
          <w:p w:rsidR="001D57B8" w:rsidRPr="003C2E05" w:rsidRDefault="001D57B8" w:rsidP="0081309F">
            <w:pPr>
              <w:spacing w:line="240" w:lineRule="auto"/>
              <w:jc w:val="both"/>
              <w:rPr>
                <w:rFonts w:ascii="Times New Roman" w:eastAsia="Times New Roman" w:hAnsi="Times New Roman" w:cs="Times New Roman"/>
                <w:b/>
                <w:lang w:val="uk-UA" w:eastAsia="uk-UA"/>
              </w:rPr>
            </w:pPr>
            <w:r w:rsidRPr="003C2E05">
              <w:rPr>
                <w:rFonts w:ascii="Times New Roman" w:eastAsia="Calibri" w:hAnsi="Times New Roman" w:cs="Times New Roman"/>
                <w:lang w:val="uk-UA" w:eastAsia="uk-UA"/>
              </w:rPr>
              <w:t xml:space="preserve">Документ повинен бути не більше </w:t>
            </w:r>
            <w:proofErr w:type="spellStart"/>
            <w:r w:rsidRPr="003C2E05">
              <w:rPr>
                <w:rFonts w:ascii="Times New Roman" w:eastAsia="Calibri" w:hAnsi="Times New Roman" w:cs="Times New Roman"/>
                <w:lang w:val="uk-UA" w:eastAsia="uk-UA"/>
              </w:rPr>
              <w:t>тридцятиденної</w:t>
            </w:r>
            <w:proofErr w:type="spellEnd"/>
            <w:r w:rsidRPr="003C2E05">
              <w:rPr>
                <w:rFonts w:ascii="Times New Roman" w:eastAsia="Calibri" w:hAnsi="Times New Roman" w:cs="Times New Roman"/>
                <w:lang w:val="uk-UA" w:eastAsia="uk-UA"/>
              </w:rPr>
              <w:t xml:space="preserve"> давнини від дати подання документа</w:t>
            </w:r>
          </w:p>
        </w:tc>
      </w:tr>
      <w:tr w:rsidR="001D57B8" w:rsidRPr="003C2E05" w:rsidTr="0081309F">
        <w:trPr>
          <w:trHeight w:val="15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1D57B8" w:rsidRPr="003C2E05" w:rsidRDefault="001D57B8" w:rsidP="0081309F">
            <w:pPr>
              <w:spacing w:line="240" w:lineRule="auto"/>
              <w:jc w:val="center"/>
              <w:rPr>
                <w:rFonts w:ascii="Times New Roman" w:eastAsia="Times New Roman" w:hAnsi="Times New Roman" w:cs="Times New Roman"/>
                <w:lang w:val="uk-UA" w:eastAsia="uk-UA"/>
              </w:rPr>
            </w:pPr>
            <w:r w:rsidRPr="003C2E05">
              <w:rPr>
                <w:rFonts w:ascii="Times New Roman" w:eastAsia="Calibri" w:hAnsi="Times New Roman" w:cs="Times New Roman"/>
                <w:lang w:val="uk-UA" w:eastAsia="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1D57B8" w:rsidRPr="003C2E05" w:rsidRDefault="001D57B8" w:rsidP="0081309F">
            <w:pPr>
              <w:spacing w:line="240" w:lineRule="auto"/>
              <w:rPr>
                <w:rFonts w:ascii="Times New Roman" w:eastAsia="Times New Roman" w:hAnsi="Times New Roman" w:cs="Times New Roman"/>
                <w:lang w:val="uk-UA" w:eastAsia="uk-UA"/>
              </w:rPr>
            </w:pPr>
            <w:r w:rsidRPr="003C2E05">
              <w:rPr>
                <w:rFonts w:ascii="Times New Roman" w:eastAsia="Calibri" w:hAnsi="Times New Roman" w:cs="Times New Roman"/>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C2E05">
              <w:rPr>
                <w:rFonts w:ascii="Times New Roman" w:eastAsia="Calibri" w:hAnsi="Times New Roman" w:cs="Times New Roman"/>
                <w:b/>
                <w:lang w:val="uk-UA" w:eastAsia="uk-UA"/>
              </w:rPr>
              <w:t>(підпункт 12 пункт 44 постанови 1178)</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57B8" w:rsidRPr="003C2E05" w:rsidRDefault="001D57B8" w:rsidP="0081309F">
            <w:pPr>
              <w:spacing w:line="240" w:lineRule="auto"/>
              <w:rPr>
                <w:rFonts w:ascii="Times New Roman" w:eastAsia="Times New Roman" w:hAnsi="Times New Roman" w:cs="Times New Roman"/>
                <w:b/>
                <w:lang w:val="uk-UA" w:eastAsia="uk-UA"/>
              </w:rPr>
            </w:pPr>
          </w:p>
        </w:tc>
      </w:tr>
      <w:tr w:rsidR="001D57B8" w:rsidRPr="003C2E05" w:rsidTr="0081309F">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1D57B8" w:rsidRPr="003C2E05" w:rsidRDefault="001D57B8" w:rsidP="0081309F">
            <w:pPr>
              <w:spacing w:line="240" w:lineRule="auto"/>
              <w:jc w:val="center"/>
              <w:rPr>
                <w:rFonts w:ascii="Times New Roman" w:eastAsia="Times New Roman" w:hAnsi="Times New Roman" w:cs="Times New Roman"/>
                <w:lang w:val="uk-UA" w:eastAsia="uk-UA"/>
              </w:rPr>
            </w:pPr>
            <w:r w:rsidRPr="003C2E05">
              <w:rPr>
                <w:rFonts w:ascii="Times New Roman" w:eastAsia="Calibri" w:hAnsi="Times New Roman" w:cs="Times New Roman"/>
                <w:lang w:val="uk-UA" w:eastAsia="uk-UA"/>
              </w:rPr>
              <w:t>4</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1D57B8" w:rsidRPr="003C2E05" w:rsidRDefault="001D57B8" w:rsidP="0081309F">
            <w:pPr>
              <w:spacing w:line="240" w:lineRule="auto"/>
              <w:jc w:val="both"/>
              <w:rPr>
                <w:rFonts w:ascii="Times New Roman" w:eastAsia="Times New Roman" w:hAnsi="Times New Roman" w:cs="Times New Roman"/>
                <w:lang w:val="uk-UA" w:eastAsia="uk-UA"/>
              </w:rPr>
            </w:pPr>
            <w:r w:rsidRPr="003C2E05">
              <w:rPr>
                <w:rFonts w:ascii="Times New Roman" w:eastAsia="Calibri" w:hAnsi="Times New Roman" w:cs="Times New Roman"/>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D57B8" w:rsidRPr="003C2E05" w:rsidRDefault="001D57B8" w:rsidP="0081309F">
            <w:pPr>
              <w:spacing w:line="240" w:lineRule="auto"/>
              <w:rPr>
                <w:rFonts w:ascii="Times New Roman" w:eastAsia="Times New Roman" w:hAnsi="Times New Roman" w:cs="Times New Roman"/>
                <w:b/>
                <w:lang w:val="uk-UA" w:eastAsia="uk-UA"/>
              </w:rPr>
            </w:pPr>
            <w:r w:rsidRPr="003C2E05">
              <w:rPr>
                <w:rFonts w:ascii="Times New Roman" w:eastAsia="Calibri" w:hAnsi="Times New Roman" w:cs="Times New Roman"/>
                <w:b/>
                <w:lang w:val="uk-UA" w:eastAsia="uk-UA"/>
              </w:rPr>
              <w:t>(абзац 14 пункту 44 постанови 1178)</w:t>
            </w:r>
          </w:p>
        </w:tc>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1D57B8" w:rsidRPr="003C2E05" w:rsidRDefault="001D57B8" w:rsidP="0081309F">
            <w:pPr>
              <w:spacing w:line="240" w:lineRule="auto"/>
              <w:jc w:val="both"/>
              <w:rPr>
                <w:rFonts w:ascii="Times New Roman" w:eastAsia="Times New Roman" w:hAnsi="Times New Roman" w:cs="Times New Roman"/>
                <w:b/>
                <w:lang w:val="uk-UA" w:eastAsia="uk-UA"/>
              </w:rPr>
            </w:pPr>
            <w:r w:rsidRPr="003C2E05">
              <w:rPr>
                <w:rFonts w:ascii="Times New Roman" w:eastAsia="Calibri" w:hAnsi="Times New Roman" w:cs="Times New Roman"/>
                <w:lang w:val="uk-UA"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D57B8" w:rsidRPr="003C2E05" w:rsidRDefault="001D57B8" w:rsidP="001D57B8">
      <w:pPr>
        <w:spacing w:before="20" w:after="20" w:line="240" w:lineRule="auto"/>
        <w:ind w:firstLine="720"/>
        <w:jc w:val="both"/>
        <w:rPr>
          <w:rFonts w:ascii="Times New Roman" w:eastAsia="Times New Roman" w:hAnsi="Times New Roman" w:cs="Times New Roman"/>
          <w:sz w:val="24"/>
          <w:szCs w:val="24"/>
          <w:lang w:val="uk-UA"/>
        </w:rPr>
      </w:pPr>
    </w:p>
    <w:p w:rsidR="001D57B8" w:rsidRPr="003C2E05" w:rsidRDefault="001D57B8" w:rsidP="001D57B8">
      <w:pPr>
        <w:spacing w:line="240" w:lineRule="auto"/>
        <w:ind w:firstLine="567"/>
        <w:rPr>
          <w:rFonts w:ascii="Times New Roman" w:eastAsia="Times New Roman" w:hAnsi="Times New Roman" w:cs="Times New Roman"/>
          <w:b/>
          <w:lang w:val="uk-UA" w:eastAsia="uk-UA"/>
        </w:rPr>
      </w:pPr>
      <w:r w:rsidRPr="003C2E05">
        <w:rPr>
          <w:rFonts w:ascii="Times New Roman" w:eastAsia="Times New Roman" w:hAnsi="Times New Roman" w:cs="Times New Roman"/>
          <w:b/>
          <w:lang w:val="uk-UA" w:eastAsia="uk-UA"/>
        </w:rPr>
        <w:t>Документи, які надаються ПЕРЕМОЖЦЕМ (фізичною особою чи фізичною особою — підприємцем):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127"/>
        <w:gridCol w:w="4524"/>
      </w:tblGrid>
      <w:tr w:rsidR="001D57B8" w:rsidRPr="003C2E05" w:rsidTr="0081309F">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1D57B8" w:rsidRPr="003C2E05" w:rsidRDefault="001D57B8" w:rsidP="0081309F">
            <w:pPr>
              <w:spacing w:line="240" w:lineRule="auto"/>
              <w:ind w:left="100"/>
              <w:jc w:val="center"/>
              <w:rPr>
                <w:rFonts w:ascii="Times New Roman" w:eastAsia="Times New Roman" w:hAnsi="Times New Roman" w:cs="Times New Roman"/>
                <w:lang w:val="uk-UA" w:eastAsia="uk-UA"/>
              </w:rPr>
            </w:pPr>
            <w:r w:rsidRPr="003C2E05">
              <w:rPr>
                <w:rFonts w:ascii="Times New Roman" w:eastAsia="Calibri" w:hAnsi="Times New Roman" w:cs="Times New Roman"/>
                <w:lang w:val="uk-UA" w:eastAsia="uk-UA"/>
              </w:rPr>
              <w:t>№</w:t>
            </w:r>
          </w:p>
          <w:p w:rsidR="001D57B8" w:rsidRPr="003C2E05" w:rsidRDefault="001D57B8" w:rsidP="0081309F">
            <w:pPr>
              <w:spacing w:line="240" w:lineRule="auto"/>
              <w:jc w:val="center"/>
              <w:rPr>
                <w:rFonts w:ascii="Times New Roman" w:eastAsia="Times New Roman" w:hAnsi="Times New Roman" w:cs="Times New Roman"/>
                <w:lang w:val="uk-UA" w:eastAsia="uk-UA"/>
              </w:rPr>
            </w:pPr>
            <w:r w:rsidRPr="003C2E05">
              <w:rPr>
                <w:rFonts w:ascii="Times New Roman" w:eastAsia="Calibri" w:hAnsi="Times New Roman" w:cs="Times New Roman"/>
                <w:lang w:val="uk-UA" w:eastAsia="uk-UA"/>
              </w:rPr>
              <w:t>з/п</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1D57B8" w:rsidRPr="003C2E05" w:rsidRDefault="001D57B8" w:rsidP="0081309F">
            <w:pPr>
              <w:spacing w:line="240" w:lineRule="auto"/>
              <w:jc w:val="center"/>
              <w:rPr>
                <w:rFonts w:ascii="Times New Roman" w:eastAsia="Times New Roman" w:hAnsi="Times New Roman" w:cs="Times New Roman"/>
                <w:lang w:val="uk-UA" w:eastAsia="uk-UA"/>
              </w:rPr>
            </w:pPr>
            <w:r w:rsidRPr="003C2E05">
              <w:rPr>
                <w:rFonts w:ascii="Times New Roman" w:eastAsia="Calibri" w:hAnsi="Times New Roman" w:cs="Times New Roman"/>
                <w:lang w:val="uk-UA" w:eastAsia="uk-UA"/>
              </w:rPr>
              <w:t>Вимоги згідно пункту 44 постанови 1178</w:t>
            </w:r>
          </w:p>
        </w:tc>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1D57B8" w:rsidRPr="003C2E05" w:rsidRDefault="001D57B8" w:rsidP="0081309F">
            <w:pPr>
              <w:spacing w:line="240" w:lineRule="auto"/>
              <w:jc w:val="center"/>
              <w:rPr>
                <w:rFonts w:ascii="Times New Roman" w:eastAsia="Times New Roman" w:hAnsi="Times New Roman" w:cs="Times New Roman"/>
                <w:lang w:val="uk-UA" w:eastAsia="uk-UA"/>
              </w:rPr>
            </w:pPr>
            <w:r w:rsidRPr="003C2E05">
              <w:rPr>
                <w:rFonts w:ascii="Times New Roman" w:eastAsia="Calibri" w:hAnsi="Times New Roman" w:cs="Times New Roman"/>
                <w:lang w:val="uk-UA" w:eastAsia="uk-UA"/>
              </w:rPr>
              <w:t>Переможець торгів на виконання вимоги згідно пункту 44 постанови 1178 (підтвердження відсутності підстав) повинен надати таку інформацію:</w:t>
            </w:r>
          </w:p>
        </w:tc>
      </w:tr>
      <w:tr w:rsidR="001D57B8" w:rsidRPr="003C2E05" w:rsidTr="0081309F">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1D57B8" w:rsidRPr="003C2E05" w:rsidRDefault="001D57B8" w:rsidP="0081309F">
            <w:pPr>
              <w:spacing w:line="240" w:lineRule="auto"/>
              <w:jc w:val="center"/>
              <w:rPr>
                <w:rFonts w:ascii="Times New Roman" w:eastAsia="Times New Roman" w:hAnsi="Times New Roman" w:cs="Times New Roman"/>
                <w:b/>
                <w:lang w:val="uk-UA" w:eastAsia="uk-UA"/>
              </w:rPr>
            </w:pPr>
            <w:r w:rsidRPr="003C2E05">
              <w:rPr>
                <w:rFonts w:ascii="Times New Roman" w:eastAsia="Calibri" w:hAnsi="Times New Roman" w:cs="Times New Roman"/>
                <w:b/>
                <w:lang w:val="uk-UA" w:eastAsia="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1D57B8" w:rsidRPr="003C2E05" w:rsidRDefault="001D57B8" w:rsidP="0081309F">
            <w:pPr>
              <w:spacing w:line="240" w:lineRule="auto"/>
              <w:jc w:val="both"/>
              <w:rPr>
                <w:rFonts w:ascii="Times New Roman" w:eastAsia="Times New Roman" w:hAnsi="Times New Roman" w:cs="Times New Roman"/>
                <w:lang w:val="uk-UA" w:eastAsia="uk-UA"/>
              </w:rPr>
            </w:pPr>
            <w:r w:rsidRPr="003C2E05">
              <w:rPr>
                <w:rFonts w:ascii="Times New Roman" w:eastAsia="Calibri" w:hAnsi="Times New Roman" w:cs="Times New Roman"/>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пов’язаного з корупцією.</w:t>
            </w:r>
          </w:p>
          <w:p w:rsidR="001D57B8" w:rsidRPr="003C2E05" w:rsidRDefault="001D57B8" w:rsidP="0081309F">
            <w:pPr>
              <w:spacing w:line="240" w:lineRule="auto"/>
              <w:jc w:val="both"/>
              <w:rPr>
                <w:rFonts w:ascii="Times New Roman" w:eastAsia="Times New Roman" w:hAnsi="Times New Roman" w:cs="Times New Roman"/>
                <w:b/>
                <w:lang w:val="uk-UA" w:eastAsia="uk-UA"/>
              </w:rPr>
            </w:pPr>
            <w:r w:rsidRPr="003C2E05">
              <w:rPr>
                <w:rFonts w:ascii="Times New Roman" w:eastAsia="Calibri" w:hAnsi="Times New Roman" w:cs="Times New Roman"/>
                <w:b/>
                <w:lang w:val="uk-UA" w:eastAsia="uk-UA"/>
              </w:rPr>
              <w:t>(підпункт 3 пункт 44 постанови 1178)</w:t>
            </w:r>
          </w:p>
        </w:tc>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1D57B8" w:rsidRPr="003C2E05" w:rsidRDefault="001D57B8" w:rsidP="0081309F">
            <w:pPr>
              <w:spacing w:line="240" w:lineRule="auto"/>
              <w:jc w:val="both"/>
              <w:rPr>
                <w:rFonts w:ascii="Times New Roman" w:eastAsia="Times New Roman" w:hAnsi="Times New Roman" w:cs="Times New Roman"/>
                <w:lang w:val="uk-UA" w:eastAsia="uk-UA"/>
              </w:rPr>
            </w:pPr>
            <w:r w:rsidRPr="003C2E05">
              <w:rPr>
                <w:rFonts w:ascii="Times New Roman" w:eastAsia="Calibri" w:hAnsi="Times New Roman" w:cs="Times New Roman"/>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3C2E05">
              <w:rPr>
                <w:rFonts w:ascii="Times New Roman" w:eastAsia="Calibri" w:hAnsi="Times New Roman" w:cs="Times New Roman"/>
                <w:lang w:val="uk-UA" w:eastAsia="uk-UA"/>
              </w:rPr>
              <w:t>вебресурсі</w:t>
            </w:r>
            <w:proofErr w:type="spellEnd"/>
            <w:r w:rsidRPr="003C2E05">
              <w:rPr>
                <w:rFonts w:ascii="Times New Roman" w:eastAsia="Calibri" w:hAnsi="Times New Roman" w:cs="Times New Roman"/>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D57B8" w:rsidRPr="003C2E05" w:rsidTr="0081309F">
        <w:trPr>
          <w:trHeight w:val="1968"/>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1D57B8" w:rsidRPr="003C2E05" w:rsidRDefault="001D57B8" w:rsidP="0081309F">
            <w:pPr>
              <w:spacing w:line="240" w:lineRule="auto"/>
              <w:jc w:val="center"/>
              <w:rPr>
                <w:rFonts w:ascii="Times New Roman" w:eastAsia="Times New Roman" w:hAnsi="Times New Roman" w:cs="Times New Roman"/>
                <w:b/>
                <w:lang w:val="uk-UA" w:eastAsia="uk-UA"/>
              </w:rPr>
            </w:pPr>
            <w:r w:rsidRPr="003C2E05">
              <w:rPr>
                <w:rFonts w:ascii="Times New Roman" w:eastAsia="Calibri" w:hAnsi="Times New Roman" w:cs="Times New Roman"/>
                <w:b/>
                <w:lang w:val="uk-UA" w:eastAsia="uk-UA"/>
              </w:rPr>
              <w:lastRenderedPageBreak/>
              <w:t>2</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1D57B8" w:rsidRPr="003C2E05" w:rsidRDefault="001D57B8" w:rsidP="0081309F">
            <w:pPr>
              <w:spacing w:line="240" w:lineRule="auto"/>
              <w:jc w:val="both"/>
              <w:rPr>
                <w:rFonts w:ascii="Times New Roman" w:eastAsia="Times New Roman" w:hAnsi="Times New Roman" w:cs="Times New Roman"/>
                <w:lang w:val="uk-UA" w:eastAsia="uk-UA"/>
              </w:rPr>
            </w:pPr>
            <w:r w:rsidRPr="003C2E05">
              <w:rPr>
                <w:rFonts w:ascii="Times New Roman" w:eastAsia="Calibri" w:hAnsi="Times New Roman" w:cs="Times New Roman"/>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57B8" w:rsidRPr="003C2E05" w:rsidRDefault="001D57B8" w:rsidP="0081309F">
            <w:pPr>
              <w:spacing w:line="240" w:lineRule="auto"/>
              <w:jc w:val="both"/>
              <w:rPr>
                <w:rFonts w:ascii="Times New Roman" w:eastAsia="Times New Roman" w:hAnsi="Times New Roman" w:cs="Times New Roman"/>
                <w:b/>
                <w:lang w:val="uk-UA" w:eastAsia="uk-UA"/>
              </w:rPr>
            </w:pPr>
            <w:r w:rsidRPr="003C2E05">
              <w:rPr>
                <w:rFonts w:ascii="Times New Roman" w:eastAsia="Calibri" w:hAnsi="Times New Roman" w:cs="Times New Roman"/>
                <w:b/>
                <w:lang w:val="uk-UA" w:eastAsia="uk-UA"/>
              </w:rPr>
              <w:t>(підпункт 5 пункт 44 постанови 1178)</w:t>
            </w:r>
          </w:p>
        </w:tc>
        <w:tc>
          <w:tcPr>
            <w:tcW w:w="4672" w:type="dxa"/>
            <w:vMerge w:val="restart"/>
            <w:tcBorders>
              <w:top w:val="single" w:sz="4" w:space="0" w:color="auto"/>
              <w:left w:val="single" w:sz="4" w:space="0" w:color="auto"/>
              <w:bottom w:val="single" w:sz="4" w:space="0" w:color="auto"/>
              <w:right w:val="single" w:sz="4" w:space="0" w:color="auto"/>
            </w:tcBorders>
            <w:shd w:val="clear" w:color="auto" w:fill="auto"/>
          </w:tcPr>
          <w:p w:rsidR="001D57B8" w:rsidRPr="003C2E05" w:rsidRDefault="001D57B8" w:rsidP="0081309F">
            <w:pPr>
              <w:spacing w:line="240" w:lineRule="auto"/>
              <w:jc w:val="both"/>
              <w:rPr>
                <w:rFonts w:ascii="Times New Roman" w:eastAsia="Times New Roman" w:hAnsi="Times New Roman" w:cs="Times New Roman"/>
                <w:lang w:val="uk-UA" w:eastAsia="uk-UA"/>
              </w:rPr>
            </w:pPr>
            <w:r w:rsidRPr="003C2E05">
              <w:rPr>
                <w:rFonts w:ascii="Times New Roman" w:eastAsia="Calibri" w:hAnsi="Times New Roman" w:cs="Times New Roman"/>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D57B8" w:rsidRPr="003C2E05" w:rsidRDefault="001D57B8" w:rsidP="0081309F">
            <w:pPr>
              <w:spacing w:line="240" w:lineRule="auto"/>
              <w:jc w:val="both"/>
              <w:rPr>
                <w:rFonts w:ascii="Times New Roman" w:eastAsia="Calibri" w:hAnsi="Times New Roman" w:cs="Times New Roman"/>
                <w:lang w:val="uk-UA" w:eastAsia="uk-UA"/>
              </w:rPr>
            </w:pPr>
          </w:p>
          <w:p w:rsidR="001D57B8" w:rsidRPr="003C2E05" w:rsidRDefault="001D57B8" w:rsidP="0081309F">
            <w:pPr>
              <w:spacing w:line="240" w:lineRule="auto"/>
              <w:jc w:val="both"/>
              <w:rPr>
                <w:rFonts w:ascii="Times New Roman" w:eastAsia="Times New Roman" w:hAnsi="Times New Roman" w:cs="Times New Roman"/>
                <w:b/>
                <w:lang w:val="uk-UA" w:eastAsia="uk-UA"/>
              </w:rPr>
            </w:pPr>
            <w:r w:rsidRPr="003C2E05">
              <w:rPr>
                <w:rFonts w:ascii="Times New Roman" w:eastAsia="Calibri" w:hAnsi="Times New Roman" w:cs="Times New Roman"/>
                <w:lang w:val="uk-UA" w:eastAsia="uk-UA"/>
              </w:rPr>
              <w:t xml:space="preserve">Документ повинен бути не більше </w:t>
            </w:r>
            <w:proofErr w:type="spellStart"/>
            <w:r w:rsidRPr="003C2E05">
              <w:rPr>
                <w:rFonts w:ascii="Times New Roman" w:eastAsia="Calibri" w:hAnsi="Times New Roman" w:cs="Times New Roman"/>
                <w:lang w:val="uk-UA" w:eastAsia="uk-UA"/>
              </w:rPr>
              <w:t>тридцятиденної</w:t>
            </w:r>
            <w:proofErr w:type="spellEnd"/>
            <w:r w:rsidRPr="003C2E05">
              <w:rPr>
                <w:rFonts w:ascii="Times New Roman" w:eastAsia="Calibri" w:hAnsi="Times New Roman" w:cs="Times New Roman"/>
                <w:lang w:val="uk-UA" w:eastAsia="uk-UA"/>
              </w:rPr>
              <w:t xml:space="preserve"> давнини від дати подання документа. </w:t>
            </w:r>
          </w:p>
        </w:tc>
      </w:tr>
      <w:tr w:rsidR="001D57B8" w:rsidRPr="003C2E05" w:rsidTr="0081309F">
        <w:trPr>
          <w:trHeight w:val="1572"/>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1D57B8" w:rsidRPr="003C2E05" w:rsidRDefault="001D57B8" w:rsidP="0081309F">
            <w:pPr>
              <w:spacing w:line="240" w:lineRule="auto"/>
              <w:jc w:val="center"/>
              <w:rPr>
                <w:rFonts w:ascii="Times New Roman" w:eastAsia="Times New Roman" w:hAnsi="Times New Roman" w:cs="Times New Roman"/>
                <w:b/>
                <w:lang w:val="uk-UA" w:eastAsia="uk-UA"/>
              </w:rPr>
            </w:pPr>
            <w:r w:rsidRPr="003C2E05">
              <w:rPr>
                <w:rFonts w:ascii="Times New Roman" w:eastAsia="Calibri" w:hAnsi="Times New Roman" w:cs="Times New Roman"/>
                <w:b/>
                <w:lang w:val="uk-UA" w:eastAsia="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1D57B8" w:rsidRPr="003C2E05" w:rsidRDefault="001D57B8" w:rsidP="0081309F">
            <w:pPr>
              <w:spacing w:line="240" w:lineRule="auto"/>
              <w:jc w:val="both"/>
              <w:rPr>
                <w:rFonts w:ascii="Times New Roman" w:eastAsia="Times New Roman" w:hAnsi="Times New Roman" w:cs="Times New Roman"/>
                <w:lang w:val="uk-UA" w:eastAsia="uk-UA"/>
              </w:rPr>
            </w:pPr>
            <w:r w:rsidRPr="003C2E05">
              <w:rPr>
                <w:rFonts w:ascii="Times New Roman" w:eastAsia="Calibri" w:hAnsi="Times New Roman" w:cs="Times New Roman"/>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57B8" w:rsidRPr="003C2E05" w:rsidRDefault="001D57B8" w:rsidP="0081309F">
            <w:pPr>
              <w:spacing w:line="240" w:lineRule="auto"/>
              <w:jc w:val="both"/>
              <w:rPr>
                <w:rFonts w:ascii="Times New Roman" w:eastAsia="Times New Roman" w:hAnsi="Times New Roman" w:cs="Times New Roman"/>
                <w:lang w:val="uk-UA" w:eastAsia="uk-UA"/>
              </w:rPr>
            </w:pPr>
            <w:r w:rsidRPr="003C2E05">
              <w:rPr>
                <w:rFonts w:ascii="Times New Roman" w:eastAsia="Calibri" w:hAnsi="Times New Roman" w:cs="Times New Roman"/>
                <w:b/>
                <w:lang w:val="uk-UA" w:eastAsia="uk-UA"/>
              </w:rPr>
              <w:t>(підпункт 12 пункт 44 постанови 1178)</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57B8" w:rsidRPr="003C2E05" w:rsidRDefault="001D57B8" w:rsidP="0081309F">
            <w:pPr>
              <w:spacing w:line="240" w:lineRule="auto"/>
              <w:rPr>
                <w:rFonts w:ascii="Times New Roman" w:eastAsia="Times New Roman" w:hAnsi="Times New Roman" w:cs="Times New Roman"/>
                <w:b/>
                <w:lang w:val="uk-UA" w:eastAsia="uk-UA"/>
              </w:rPr>
            </w:pPr>
          </w:p>
        </w:tc>
      </w:tr>
      <w:tr w:rsidR="001D57B8" w:rsidRPr="003C2E05" w:rsidTr="0081309F">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1D57B8" w:rsidRPr="003C2E05" w:rsidRDefault="001D57B8" w:rsidP="0081309F">
            <w:pPr>
              <w:spacing w:line="240" w:lineRule="auto"/>
              <w:jc w:val="center"/>
              <w:rPr>
                <w:rFonts w:ascii="Times New Roman" w:eastAsia="Times New Roman" w:hAnsi="Times New Roman" w:cs="Times New Roman"/>
                <w:b/>
                <w:lang w:val="uk-UA" w:eastAsia="uk-UA"/>
              </w:rPr>
            </w:pPr>
            <w:r w:rsidRPr="003C2E05">
              <w:rPr>
                <w:rFonts w:ascii="Times New Roman" w:eastAsia="Calibri" w:hAnsi="Times New Roman" w:cs="Times New Roman"/>
                <w:b/>
                <w:lang w:val="uk-UA" w:eastAsia="uk-UA"/>
              </w:rPr>
              <w:t>4</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1D57B8" w:rsidRPr="003C2E05" w:rsidRDefault="001D57B8" w:rsidP="0081309F">
            <w:pPr>
              <w:spacing w:line="240" w:lineRule="auto"/>
              <w:jc w:val="both"/>
              <w:rPr>
                <w:rFonts w:ascii="Times New Roman" w:eastAsia="Times New Roman" w:hAnsi="Times New Roman" w:cs="Times New Roman"/>
                <w:lang w:val="uk-UA" w:eastAsia="uk-UA"/>
              </w:rPr>
            </w:pPr>
            <w:r w:rsidRPr="003C2E05">
              <w:rPr>
                <w:rFonts w:ascii="Times New Roman" w:eastAsia="Calibri" w:hAnsi="Times New Roman" w:cs="Times New Roman"/>
                <w:lang w:val="uk-UA"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D57B8" w:rsidRPr="003C2E05" w:rsidRDefault="001D57B8" w:rsidP="0081309F">
            <w:pPr>
              <w:spacing w:line="240" w:lineRule="auto"/>
              <w:jc w:val="both"/>
              <w:rPr>
                <w:rFonts w:ascii="Times New Roman" w:eastAsia="Times New Roman" w:hAnsi="Times New Roman" w:cs="Times New Roman"/>
                <w:b/>
                <w:lang w:val="uk-UA" w:eastAsia="uk-UA"/>
              </w:rPr>
            </w:pPr>
            <w:r w:rsidRPr="003C2E05">
              <w:rPr>
                <w:rFonts w:ascii="Times New Roman" w:eastAsia="Calibri" w:hAnsi="Times New Roman" w:cs="Times New Roman"/>
                <w:b/>
                <w:lang w:val="uk-UA" w:eastAsia="uk-UA"/>
              </w:rPr>
              <w:t>(абзац 14 пункт 44 постанови 1178)</w:t>
            </w:r>
          </w:p>
        </w:tc>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1D57B8" w:rsidRPr="003C2E05" w:rsidRDefault="001D57B8" w:rsidP="0081309F">
            <w:pPr>
              <w:spacing w:line="240" w:lineRule="auto"/>
              <w:jc w:val="both"/>
              <w:rPr>
                <w:rFonts w:ascii="Times New Roman" w:eastAsia="Times New Roman" w:hAnsi="Times New Roman" w:cs="Times New Roman"/>
                <w:b/>
                <w:lang w:val="uk-UA" w:eastAsia="uk-UA"/>
              </w:rPr>
            </w:pPr>
            <w:r w:rsidRPr="003C2E05">
              <w:rPr>
                <w:rFonts w:ascii="Times New Roman" w:eastAsia="Calibri" w:hAnsi="Times New Roman" w:cs="Times New Roman"/>
                <w:lang w:val="uk-UA"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D57B8" w:rsidRPr="003C2E05" w:rsidRDefault="001D57B8" w:rsidP="001D57B8">
      <w:pPr>
        <w:suppressAutoHyphens/>
        <w:spacing w:line="240" w:lineRule="auto"/>
        <w:ind w:right="44"/>
        <w:contextualSpacing/>
        <w:jc w:val="both"/>
        <w:rPr>
          <w:rFonts w:ascii="Times New Roman" w:eastAsia="Times New Roman" w:hAnsi="Times New Roman" w:cs="Times New Roman"/>
          <w:sz w:val="24"/>
          <w:szCs w:val="24"/>
          <w:lang w:val="uk-UA" w:eastAsia="uk-UA"/>
        </w:rPr>
      </w:pPr>
    </w:p>
    <w:p w:rsidR="001D57B8" w:rsidRPr="003C2E05" w:rsidRDefault="001D57B8" w:rsidP="001D57B8">
      <w:pPr>
        <w:suppressAutoHyphens/>
        <w:spacing w:line="240" w:lineRule="auto"/>
        <w:ind w:right="44"/>
        <w:contextualSpacing/>
        <w:jc w:val="both"/>
        <w:rPr>
          <w:rFonts w:ascii="Times New Roman" w:eastAsia="Times New Roman" w:hAnsi="Times New Roman" w:cs="Times New Roman"/>
          <w:sz w:val="24"/>
          <w:szCs w:val="24"/>
          <w:lang w:val="uk-UA" w:eastAsia="uk-UA"/>
        </w:rPr>
      </w:pPr>
    </w:p>
    <w:p w:rsidR="001D57B8" w:rsidRPr="003C2E05" w:rsidRDefault="001D57B8" w:rsidP="001D57B8">
      <w:pPr>
        <w:suppressAutoHyphens/>
        <w:spacing w:line="240" w:lineRule="auto"/>
        <w:ind w:right="44"/>
        <w:contextualSpacing/>
        <w:jc w:val="both"/>
        <w:rPr>
          <w:rFonts w:ascii="Times New Roman" w:eastAsia="Times New Roman" w:hAnsi="Times New Roman" w:cs="Times New Roman"/>
          <w:sz w:val="24"/>
          <w:szCs w:val="24"/>
          <w:lang w:val="uk-UA" w:eastAsia="uk-UA"/>
        </w:rPr>
      </w:pPr>
    </w:p>
    <w:p w:rsidR="001D57B8" w:rsidRPr="003C2E05" w:rsidRDefault="001D57B8" w:rsidP="001D57B8">
      <w:pPr>
        <w:suppressAutoHyphens/>
        <w:spacing w:line="240" w:lineRule="auto"/>
        <w:ind w:right="44"/>
        <w:contextualSpacing/>
        <w:jc w:val="both"/>
        <w:rPr>
          <w:rFonts w:ascii="Times New Roman" w:eastAsia="Times New Roman" w:hAnsi="Times New Roman" w:cs="Times New Roman"/>
          <w:sz w:val="24"/>
          <w:szCs w:val="24"/>
          <w:lang w:val="uk-UA" w:eastAsia="uk-UA"/>
        </w:rPr>
      </w:pPr>
    </w:p>
    <w:p w:rsidR="001D57B8" w:rsidRPr="003C2E05" w:rsidRDefault="001D57B8" w:rsidP="001D57B8">
      <w:pPr>
        <w:suppressAutoHyphens/>
        <w:spacing w:line="240" w:lineRule="auto"/>
        <w:ind w:right="44"/>
        <w:contextualSpacing/>
        <w:jc w:val="both"/>
        <w:rPr>
          <w:rFonts w:ascii="Times New Roman" w:eastAsia="Times New Roman" w:hAnsi="Times New Roman" w:cs="Times New Roman"/>
          <w:sz w:val="24"/>
          <w:szCs w:val="24"/>
          <w:lang w:val="uk-UA" w:eastAsia="uk-UA"/>
        </w:rPr>
      </w:pPr>
    </w:p>
    <w:p w:rsidR="001D57B8" w:rsidRPr="003C2E05" w:rsidRDefault="001D57B8" w:rsidP="001D57B8">
      <w:pPr>
        <w:suppressAutoHyphens/>
        <w:spacing w:line="240" w:lineRule="auto"/>
        <w:ind w:right="44"/>
        <w:contextualSpacing/>
        <w:jc w:val="both"/>
        <w:rPr>
          <w:rFonts w:ascii="Times New Roman" w:eastAsia="Times New Roman" w:hAnsi="Times New Roman" w:cs="Times New Roman"/>
          <w:sz w:val="24"/>
          <w:szCs w:val="24"/>
          <w:lang w:val="uk-UA" w:eastAsia="uk-UA"/>
        </w:rPr>
      </w:pPr>
    </w:p>
    <w:p w:rsidR="001D57B8" w:rsidRPr="003C2E05" w:rsidRDefault="001D57B8" w:rsidP="001D57B8">
      <w:pPr>
        <w:suppressAutoHyphens/>
        <w:spacing w:line="240" w:lineRule="auto"/>
        <w:ind w:right="44"/>
        <w:contextualSpacing/>
        <w:jc w:val="both"/>
        <w:rPr>
          <w:rFonts w:ascii="Times New Roman" w:eastAsia="Times New Roman" w:hAnsi="Times New Roman" w:cs="Times New Roman"/>
          <w:sz w:val="24"/>
          <w:szCs w:val="24"/>
          <w:lang w:val="uk-UA" w:eastAsia="uk-UA"/>
        </w:rPr>
      </w:pPr>
    </w:p>
    <w:p w:rsidR="00DA4B05" w:rsidRDefault="00DA4B05"/>
    <w:sectPr w:rsidR="00DA4B05" w:rsidSect="001D57B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B8"/>
    <w:rsid w:val="001D57B8"/>
    <w:rsid w:val="00DA4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E733D-872B-453E-B271-634A23C2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7B8"/>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3" Type="http://schemas.openxmlformats.org/officeDocument/2006/relationships/webSettings" Target="webSettings.xml"/><Relationship Id="rId7" Type="http://schemas.openxmlformats.org/officeDocument/2006/relationships/hyperlink" Target="https://zakon.rada.gov.ua/laws/show/1178-2022-%D0%BF/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78-2022-%D0%BF/print" TargetMode="External"/><Relationship Id="rId5" Type="http://schemas.openxmlformats.org/officeDocument/2006/relationships/hyperlink" Target="https://zakon.rada.gov.ua/laws/show/1178-2022-%D0%BF/print" TargetMode="External"/><Relationship Id="rId10" Type="http://schemas.openxmlformats.org/officeDocument/2006/relationships/theme" Target="theme/theme1.xml"/><Relationship Id="rId4" Type="http://schemas.openxmlformats.org/officeDocument/2006/relationships/hyperlink" Target="https://zakon.rada.gov.ua/laws/show/1178-2022-%D0%BF/print"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1421</Words>
  <Characters>8100</Characters>
  <Application>Microsoft Office Word</Application>
  <DocSecurity>0</DocSecurity>
  <Lines>67</Lines>
  <Paragraphs>19</Paragraphs>
  <ScaleCrop>false</ScaleCrop>
  <Company>Reanimator Extreme Edition</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2023-04-24T11:40:00Z</dcterms:created>
  <dcterms:modified xsi:type="dcterms:W3CDTF">2023-04-24T11:41:00Z</dcterms:modified>
</cp:coreProperties>
</file>