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96" w:rsidRPr="00680296" w:rsidRDefault="00680296" w:rsidP="00680296">
      <w:pPr>
        <w:jc w:val="right"/>
        <w:rPr>
          <w:b/>
        </w:rPr>
      </w:pPr>
      <w:r w:rsidRPr="00680296">
        <w:rPr>
          <w:b/>
        </w:rPr>
        <w:t>Додаток №1</w:t>
      </w:r>
    </w:p>
    <w:p w:rsidR="00680296" w:rsidRPr="00A30E2C" w:rsidRDefault="00680296" w:rsidP="00680296">
      <w:pPr>
        <w:jc w:val="right"/>
        <w:rPr>
          <w:b/>
        </w:rPr>
      </w:pPr>
      <w:r w:rsidRPr="008C456B">
        <w:rPr>
          <w:b/>
        </w:rPr>
        <w:t xml:space="preserve">до </w:t>
      </w:r>
      <w:r w:rsidRPr="00A30E2C">
        <w:rPr>
          <w:b/>
        </w:rPr>
        <w:t>протоколу №</w:t>
      </w:r>
      <w:r w:rsidR="00226996">
        <w:rPr>
          <w:b/>
        </w:rPr>
        <w:t>7</w:t>
      </w:r>
      <w:r w:rsidR="009D4E27">
        <w:rPr>
          <w:b/>
        </w:rPr>
        <w:t>__</w:t>
      </w:r>
      <w:r w:rsidRPr="00A30E2C">
        <w:rPr>
          <w:b/>
        </w:rPr>
        <w:t xml:space="preserve"> від «</w:t>
      </w:r>
      <w:r w:rsidR="009D4E27">
        <w:rPr>
          <w:b/>
        </w:rPr>
        <w:t>20</w:t>
      </w:r>
      <w:r w:rsidRPr="00A30E2C">
        <w:rPr>
          <w:b/>
        </w:rPr>
        <w:t>»</w:t>
      </w:r>
      <w:r w:rsidR="00DB7F45">
        <w:rPr>
          <w:b/>
        </w:rPr>
        <w:t xml:space="preserve"> </w:t>
      </w:r>
      <w:r w:rsidR="00E03FD1">
        <w:rPr>
          <w:b/>
        </w:rPr>
        <w:t>лютого</w:t>
      </w:r>
      <w:r w:rsidRPr="00A30E2C">
        <w:rPr>
          <w:b/>
        </w:rPr>
        <w:t xml:space="preserve"> 202</w:t>
      </w:r>
      <w:r w:rsidR="00E03FD1">
        <w:rPr>
          <w:b/>
        </w:rPr>
        <w:t xml:space="preserve">4 </w:t>
      </w:r>
      <w:r w:rsidRPr="00A30E2C">
        <w:rPr>
          <w:b/>
        </w:rPr>
        <w:t>р.</w:t>
      </w:r>
    </w:p>
    <w:p w:rsidR="008D3271" w:rsidRPr="00A30E2C" w:rsidRDefault="008D3271" w:rsidP="008D3271">
      <w:pPr>
        <w:jc w:val="center"/>
        <w:rPr>
          <w:b/>
        </w:rPr>
      </w:pPr>
      <w:r w:rsidRPr="00A30E2C">
        <w:rPr>
          <w:b/>
        </w:rPr>
        <w:t>Зміни внесені до тендерної документації</w:t>
      </w:r>
    </w:p>
    <w:p w:rsidR="00680296" w:rsidRPr="00A30E2C" w:rsidRDefault="008D3271" w:rsidP="00680296">
      <w:pPr>
        <w:jc w:val="center"/>
        <w:rPr>
          <w:b/>
          <w:bCs/>
          <w:iCs/>
        </w:rPr>
      </w:pPr>
      <w:r w:rsidRPr="00A30E2C">
        <w:rPr>
          <w:b/>
        </w:rPr>
        <w:t xml:space="preserve">щодо закупівлі </w:t>
      </w:r>
      <w:r w:rsidR="009D4E27" w:rsidRPr="009D4E27">
        <w:rPr>
          <w:b/>
          <w:bCs/>
        </w:rPr>
        <w:t xml:space="preserve">«код ДК 021:2015 - 15810000-9 «Хлібопродукти, свіжовипечені хлібобулочні та кондитерські вироби»  (Хліб пшеничний пакетований різаний, хліб житньо-пшеничний пакетований різаний, хліб житній пакетований різаний, торти, паски, батон бутербродний пакетований, батон з родзинками, грінки, сухарі панірувальні, піца з шинкою, піца з куркою, сосиска в тісті, крендель з маком, булочка троянда, слойка з журавлиною та сиром, трубочка з шоколадом і горішками, трубочка з чорницею, </w:t>
      </w:r>
      <w:proofErr w:type="spellStart"/>
      <w:r w:rsidR="009D4E27" w:rsidRPr="009D4E27">
        <w:rPr>
          <w:b/>
          <w:bCs/>
        </w:rPr>
        <w:t>круасан</w:t>
      </w:r>
      <w:proofErr w:type="spellEnd"/>
      <w:r w:rsidR="009D4E27" w:rsidRPr="009D4E27">
        <w:rPr>
          <w:b/>
          <w:bCs/>
        </w:rPr>
        <w:t xml:space="preserve"> з шоколадною начинкою пакетований, </w:t>
      </w:r>
      <w:proofErr w:type="spellStart"/>
      <w:r w:rsidR="009D4E27" w:rsidRPr="009D4E27">
        <w:rPr>
          <w:b/>
          <w:bCs/>
        </w:rPr>
        <w:t>круасан</w:t>
      </w:r>
      <w:proofErr w:type="spellEnd"/>
      <w:r w:rsidR="009D4E27" w:rsidRPr="009D4E27">
        <w:rPr>
          <w:b/>
          <w:bCs/>
        </w:rPr>
        <w:t xml:space="preserve"> із згущеним молоком пакетований, булочка ромашка </w:t>
      </w:r>
      <w:proofErr w:type="spellStart"/>
      <w:r w:rsidR="009D4E27" w:rsidRPr="009D4E27">
        <w:rPr>
          <w:b/>
          <w:bCs/>
        </w:rPr>
        <w:t>пакетована</w:t>
      </w:r>
      <w:proofErr w:type="spellEnd"/>
      <w:r w:rsidR="009D4E27" w:rsidRPr="009D4E27">
        <w:rPr>
          <w:b/>
          <w:bCs/>
        </w:rPr>
        <w:t xml:space="preserve">, пиріжок з </w:t>
      </w:r>
      <w:proofErr w:type="spellStart"/>
      <w:r w:rsidR="009D4E27" w:rsidRPr="009D4E27">
        <w:rPr>
          <w:b/>
          <w:bCs/>
        </w:rPr>
        <w:t>вишнею</w:t>
      </w:r>
      <w:proofErr w:type="spellEnd"/>
      <w:r w:rsidR="009D4E27" w:rsidRPr="009D4E27">
        <w:rPr>
          <w:b/>
          <w:bCs/>
        </w:rPr>
        <w:t xml:space="preserve">, кекс лимонний з родзинкам і шоколадом пакетований, кекс з наповнювачем пломбір, кекс із шоколадом та </w:t>
      </w:r>
      <w:proofErr w:type="spellStart"/>
      <w:r w:rsidR="009D4E27" w:rsidRPr="009D4E27">
        <w:rPr>
          <w:b/>
          <w:bCs/>
        </w:rPr>
        <w:t>вишнею</w:t>
      </w:r>
      <w:proofErr w:type="spellEnd"/>
      <w:r w:rsidR="009D4E27" w:rsidRPr="009D4E27">
        <w:rPr>
          <w:b/>
          <w:bCs/>
        </w:rPr>
        <w:t>, еклери)»</w:t>
      </w:r>
    </w:p>
    <w:p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rsidTr="00F35BAF">
        <w:trPr>
          <w:trHeight w:val="480"/>
        </w:trPr>
        <w:tc>
          <w:tcPr>
            <w:tcW w:w="518" w:type="dxa"/>
            <w:vAlign w:val="center"/>
          </w:tcPr>
          <w:p w:rsidR="00680296" w:rsidRPr="00A30E2C" w:rsidRDefault="00680296" w:rsidP="00083A1F">
            <w:pPr>
              <w:jc w:val="center"/>
              <w:rPr>
                <w:b/>
                <w:sz w:val="20"/>
                <w:szCs w:val="20"/>
              </w:rPr>
            </w:pPr>
            <w:r w:rsidRPr="00A30E2C">
              <w:rPr>
                <w:b/>
                <w:sz w:val="20"/>
                <w:szCs w:val="20"/>
              </w:rPr>
              <w:t>№</w:t>
            </w:r>
          </w:p>
          <w:p w:rsidR="00680296" w:rsidRPr="00A30E2C" w:rsidRDefault="00680296" w:rsidP="00083A1F">
            <w:pPr>
              <w:jc w:val="center"/>
              <w:rPr>
                <w:b/>
                <w:sz w:val="20"/>
                <w:szCs w:val="20"/>
              </w:rPr>
            </w:pPr>
            <w:r w:rsidRPr="00A30E2C">
              <w:rPr>
                <w:b/>
                <w:sz w:val="20"/>
                <w:szCs w:val="20"/>
              </w:rPr>
              <w:t>з/п</w:t>
            </w:r>
          </w:p>
        </w:tc>
        <w:tc>
          <w:tcPr>
            <w:tcW w:w="1184" w:type="dxa"/>
            <w:vAlign w:val="center"/>
          </w:tcPr>
          <w:p w:rsidR="00680296" w:rsidRPr="00A30E2C" w:rsidRDefault="00680296" w:rsidP="00083A1F">
            <w:pPr>
              <w:jc w:val="center"/>
              <w:rPr>
                <w:b/>
                <w:sz w:val="20"/>
                <w:szCs w:val="20"/>
              </w:rPr>
            </w:pPr>
            <w:r w:rsidRPr="00A30E2C">
              <w:rPr>
                <w:b/>
                <w:sz w:val="20"/>
                <w:szCs w:val="20"/>
              </w:rPr>
              <w:t>Пункт ТД</w:t>
            </w:r>
          </w:p>
        </w:tc>
        <w:tc>
          <w:tcPr>
            <w:tcW w:w="6945" w:type="dxa"/>
            <w:vAlign w:val="center"/>
          </w:tcPr>
          <w:p w:rsidR="00680296" w:rsidRPr="00A30E2C" w:rsidRDefault="00680296" w:rsidP="005E724C">
            <w:pPr>
              <w:jc w:val="center"/>
              <w:rPr>
                <w:b/>
                <w:sz w:val="20"/>
                <w:szCs w:val="20"/>
              </w:rPr>
            </w:pPr>
            <w:r w:rsidRPr="00A30E2C">
              <w:rPr>
                <w:b/>
                <w:sz w:val="20"/>
                <w:szCs w:val="20"/>
              </w:rPr>
              <w:t xml:space="preserve">редакція від </w:t>
            </w:r>
            <w:r w:rsidR="009D4E27">
              <w:rPr>
                <w:b/>
                <w:sz w:val="20"/>
                <w:szCs w:val="20"/>
              </w:rPr>
              <w:t>16</w:t>
            </w:r>
            <w:r w:rsidRPr="00A30E2C">
              <w:rPr>
                <w:b/>
                <w:sz w:val="20"/>
                <w:szCs w:val="20"/>
              </w:rPr>
              <w:t>.</w:t>
            </w:r>
            <w:r w:rsidR="00E03FD1">
              <w:rPr>
                <w:b/>
                <w:sz w:val="20"/>
                <w:szCs w:val="20"/>
              </w:rPr>
              <w:t>02</w:t>
            </w:r>
            <w:r w:rsidRPr="00A30E2C">
              <w:rPr>
                <w:b/>
                <w:sz w:val="20"/>
                <w:szCs w:val="20"/>
              </w:rPr>
              <w:t>.202</w:t>
            </w:r>
            <w:r w:rsidR="00E03FD1">
              <w:rPr>
                <w:b/>
                <w:sz w:val="20"/>
                <w:szCs w:val="20"/>
              </w:rPr>
              <w:t xml:space="preserve">4 </w:t>
            </w:r>
            <w:r w:rsidR="00930C61" w:rsidRPr="00A30E2C">
              <w:rPr>
                <w:b/>
                <w:sz w:val="20"/>
                <w:szCs w:val="20"/>
              </w:rPr>
              <w:t>р.</w:t>
            </w:r>
          </w:p>
        </w:tc>
        <w:tc>
          <w:tcPr>
            <w:tcW w:w="7654" w:type="dxa"/>
            <w:vAlign w:val="center"/>
          </w:tcPr>
          <w:p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9D4E27">
              <w:rPr>
                <w:b/>
                <w:sz w:val="20"/>
                <w:szCs w:val="20"/>
              </w:rPr>
              <w:t>20</w:t>
            </w:r>
            <w:r w:rsidRPr="00A30E2C">
              <w:rPr>
                <w:b/>
                <w:sz w:val="20"/>
                <w:szCs w:val="20"/>
              </w:rPr>
              <w:t>.</w:t>
            </w:r>
            <w:r w:rsidR="00E03FD1">
              <w:rPr>
                <w:b/>
                <w:sz w:val="20"/>
                <w:szCs w:val="20"/>
              </w:rPr>
              <w:t>02</w:t>
            </w:r>
            <w:r w:rsidRPr="00A30E2C">
              <w:rPr>
                <w:b/>
                <w:sz w:val="20"/>
                <w:szCs w:val="20"/>
              </w:rPr>
              <w:t>.202</w:t>
            </w:r>
            <w:r w:rsidR="00E03FD1">
              <w:rPr>
                <w:b/>
                <w:sz w:val="20"/>
                <w:szCs w:val="20"/>
              </w:rPr>
              <w:t>4 р.</w:t>
            </w:r>
          </w:p>
        </w:tc>
      </w:tr>
      <w:tr w:rsidR="008C456B" w:rsidRPr="008C456B" w:rsidTr="00443CEF">
        <w:trPr>
          <w:trHeight w:val="1796"/>
        </w:trPr>
        <w:tc>
          <w:tcPr>
            <w:tcW w:w="518" w:type="dxa"/>
            <w:vAlign w:val="center"/>
          </w:tcPr>
          <w:p w:rsidR="00680296" w:rsidRPr="00A30E2C" w:rsidRDefault="00680296" w:rsidP="00083A1F">
            <w:pPr>
              <w:jc w:val="center"/>
              <w:rPr>
                <w:b/>
                <w:sz w:val="22"/>
                <w:szCs w:val="22"/>
              </w:rPr>
            </w:pPr>
            <w:r w:rsidRPr="00A30E2C">
              <w:rPr>
                <w:b/>
                <w:sz w:val="22"/>
                <w:szCs w:val="22"/>
              </w:rPr>
              <w:t>1</w:t>
            </w:r>
          </w:p>
        </w:tc>
        <w:tc>
          <w:tcPr>
            <w:tcW w:w="1184" w:type="dxa"/>
            <w:vAlign w:val="center"/>
          </w:tcPr>
          <w:p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rsidR="00870BB2" w:rsidRPr="00A30E2C" w:rsidRDefault="00870BB2" w:rsidP="001C70CB">
            <w:pPr>
              <w:shd w:val="clear" w:color="auto" w:fill="FFFFFF"/>
              <w:jc w:val="both"/>
              <w:textAlignment w:val="baseline"/>
              <w:rPr>
                <w:b/>
                <w:sz w:val="22"/>
                <w:szCs w:val="22"/>
              </w:rPr>
            </w:pPr>
            <w:r w:rsidRPr="00A30E2C">
              <w:rPr>
                <w:b/>
                <w:sz w:val="22"/>
                <w:szCs w:val="22"/>
              </w:rPr>
              <w:t>ЗАТВЕРДЖЕНО</w:t>
            </w:r>
          </w:p>
          <w:p w:rsidR="00870BB2" w:rsidRPr="00A30E2C" w:rsidRDefault="00870BB2" w:rsidP="001C70CB">
            <w:pPr>
              <w:shd w:val="clear" w:color="auto" w:fill="FFFFFF"/>
              <w:jc w:val="both"/>
              <w:textAlignment w:val="baseline"/>
              <w:rPr>
                <w:sz w:val="22"/>
                <w:szCs w:val="22"/>
              </w:rPr>
            </w:pPr>
            <w:r w:rsidRPr="00A30E2C">
              <w:rPr>
                <w:sz w:val="22"/>
                <w:szCs w:val="22"/>
              </w:rPr>
              <w:t>Рішенням уповноваженої особи</w:t>
            </w:r>
          </w:p>
          <w:p w:rsidR="00E81FCB" w:rsidRPr="00A30E2C" w:rsidRDefault="00E81FCB" w:rsidP="001C70CB">
            <w:pPr>
              <w:rPr>
                <w:b/>
                <w:bCs/>
                <w:iCs/>
              </w:rPr>
            </w:pPr>
            <w:r w:rsidRPr="00A30E2C">
              <w:rPr>
                <w:b/>
                <w:bCs/>
                <w:iCs/>
              </w:rPr>
              <w:t>Протокол  №</w:t>
            </w:r>
            <w:r w:rsidR="009D4E27">
              <w:rPr>
                <w:b/>
                <w:bCs/>
                <w:iCs/>
              </w:rPr>
              <w:t>6</w:t>
            </w:r>
            <w:r w:rsidRPr="00A30E2C">
              <w:rPr>
                <w:b/>
                <w:bCs/>
                <w:iCs/>
              </w:rPr>
              <w:t xml:space="preserve"> від «</w:t>
            </w:r>
            <w:r w:rsidR="009D4E27">
              <w:rPr>
                <w:b/>
                <w:bCs/>
                <w:iCs/>
              </w:rPr>
              <w:t>16</w:t>
            </w:r>
            <w:r w:rsidRPr="00A30E2C">
              <w:rPr>
                <w:b/>
                <w:bCs/>
                <w:iCs/>
              </w:rPr>
              <w:t xml:space="preserve">» </w:t>
            </w:r>
            <w:r w:rsidR="00E03FD1">
              <w:rPr>
                <w:b/>
                <w:bCs/>
                <w:iCs/>
              </w:rPr>
              <w:t>лютого</w:t>
            </w:r>
            <w:r w:rsidR="008E66D1" w:rsidRPr="00A30E2C">
              <w:rPr>
                <w:b/>
                <w:bCs/>
                <w:iCs/>
              </w:rPr>
              <w:t xml:space="preserve"> 202</w:t>
            </w:r>
            <w:r w:rsidR="00E03FD1">
              <w:rPr>
                <w:b/>
                <w:bCs/>
                <w:iCs/>
              </w:rPr>
              <w:t>4</w:t>
            </w:r>
            <w:r w:rsidRPr="00A30E2C">
              <w:rPr>
                <w:b/>
                <w:bCs/>
                <w:iCs/>
              </w:rPr>
              <w:t xml:space="preserve"> року</w:t>
            </w:r>
          </w:p>
          <w:p w:rsidR="00680296" w:rsidRPr="00A30E2C" w:rsidRDefault="00DB7F45" w:rsidP="001C70CB">
            <w:pPr>
              <w:shd w:val="clear" w:color="auto" w:fill="FFFFFF"/>
              <w:jc w:val="both"/>
              <w:textAlignment w:val="baseline"/>
              <w:rPr>
                <w:b/>
                <w:sz w:val="22"/>
                <w:szCs w:val="22"/>
              </w:rPr>
            </w:pPr>
            <w:r w:rsidRPr="00DB7F45">
              <w:rPr>
                <w:b/>
                <w:sz w:val="22"/>
                <w:szCs w:val="22"/>
              </w:rPr>
              <w:t xml:space="preserve">______________ </w:t>
            </w:r>
            <w:r w:rsidR="00E03FD1" w:rsidRPr="00E03FD1">
              <w:rPr>
                <w:b/>
                <w:sz w:val="22"/>
                <w:szCs w:val="22"/>
              </w:rPr>
              <w:t>Грищук Ю.В.</w:t>
            </w:r>
          </w:p>
        </w:tc>
        <w:tc>
          <w:tcPr>
            <w:tcW w:w="7654" w:type="dxa"/>
            <w:vAlign w:val="center"/>
          </w:tcPr>
          <w:p w:rsidR="00870BB2" w:rsidRPr="001C70CB" w:rsidRDefault="00870BB2" w:rsidP="00870BB2">
            <w:r w:rsidRPr="00A30E2C">
              <w:rPr>
                <w:b/>
                <w:bCs/>
                <w:iCs/>
              </w:rPr>
              <w:t>ЗАТВЕРДЖЕНО ЗМІНИ</w:t>
            </w:r>
          </w:p>
          <w:p w:rsidR="00870BB2" w:rsidRPr="00A30E2C" w:rsidRDefault="00870BB2" w:rsidP="00870BB2">
            <w:pPr>
              <w:rPr>
                <w:bCs/>
                <w:iCs/>
              </w:rPr>
            </w:pPr>
            <w:r w:rsidRPr="00A30E2C">
              <w:rPr>
                <w:bCs/>
                <w:iCs/>
              </w:rPr>
              <w:t>Рішенням уповноваженої особи</w:t>
            </w:r>
          </w:p>
          <w:p w:rsidR="00870BB2" w:rsidRPr="008C456B" w:rsidRDefault="00870BB2" w:rsidP="00870BB2">
            <w:pPr>
              <w:rPr>
                <w:b/>
                <w:bCs/>
                <w:iCs/>
              </w:rPr>
            </w:pPr>
            <w:r w:rsidRPr="00A30E2C">
              <w:rPr>
                <w:b/>
                <w:bCs/>
                <w:iCs/>
              </w:rPr>
              <w:t xml:space="preserve">Протокол  </w:t>
            </w:r>
            <w:r w:rsidR="00E03FD1">
              <w:rPr>
                <w:b/>
                <w:bCs/>
                <w:iCs/>
              </w:rPr>
              <w:t>№</w:t>
            </w:r>
            <w:r w:rsidR="00226996">
              <w:rPr>
                <w:b/>
                <w:bCs/>
                <w:iCs/>
              </w:rPr>
              <w:t>7</w:t>
            </w:r>
            <w:bookmarkStart w:id="0" w:name="_GoBack"/>
            <w:bookmarkEnd w:id="0"/>
            <w:r w:rsidR="00244EB1" w:rsidRPr="00A30E2C">
              <w:rPr>
                <w:b/>
                <w:bCs/>
                <w:iCs/>
              </w:rPr>
              <w:t xml:space="preserve"> </w:t>
            </w:r>
            <w:r w:rsidRPr="00A30E2C">
              <w:rPr>
                <w:b/>
                <w:bCs/>
                <w:iCs/>
              </w:rPr>
              <w:t>від «</w:t>
            </w:r>
            <w:r w:rsidR="009D4E27">
              <w:rPr>
                <w:b/>
                <w:bCs/>
                <w:iCs/>
              </w:rPr>
              <w:t>20</w:t>
            </w:r>
            <w:r w:rsidRPr="00A30E2C">
              <w:rPr>
                <w:b/>
                <w:bCs/>
                <w:iCs/>
              </w:rPr>
              <w:t xml:space="preserve">» </w:t>
            </w:r>
            <w:r w:rsidR="00E03FD1">
              <w:rPr>
                <w:b/>
                <w:bCs/>
                <w:iCs/>
              </w:rPr>
              <w:t>лютого</w:t>
            </w:r>
            <w:r w:rsidR="008E66D1" w:rsidRPr="00A30E2C">
              <w:rPr>
                <w:b/>
                <w:bCs/>
                <w:iCs/>
              </w:rPr>
              <w:t xml:space="preserve"> 202</w:t>
            </w:r>
            <w:r w:rsidR="00E03FD1">
              <w:rPr>
                <w:b/>
                <w:bCs/>
                <w:iCs/>
              </w:rPr>
              <w:t>4</w:t>
            </w:r>
            <w:r w:rsidRPr="00A30E2C">
              <w:rPr>
                <w:b/>
                <w:bCs/>
                <w:iCs/>
              </w:rPr>
              <w:t xml:space="preserve"> року</w:t>
            </w:r>
          </w:p>
          <w:p w:rsidR="00680296" w:rsidRPr="008C456B" w:rsidRDefault="00DB7F45" w:rsidP="00870BB2">
            <w:pPr>
              <w:rPr>
                <w:b/>
                <w:sz w:val="22"/>
                <w:szCs w:val="22"/>
              </w:rPr>
            </w:pPr>
            <w:r w:rsidRPr="00DB7F45">
              <w:rPr>
                <w:b/>
                <w:sz w:val="22"/>
                <w:szCs w:val="22"/>
              </w:rPr>
              <w:t xml:space="preserve">______________ </w:t>
            </w:r>
            <w:r w:rsidR="00E03FD1" w:rsidRPr="00E03FD1">
              <w:rPr>
                <w:b/>
                <w:sz w:val="22"/>
                <w:szCs w:val="22"/>
              </w:rPr>
              <w:t>Грищук Ю.В.</w:t>
            </w:r>
          </w:p>
        </w:tc>
      </w:tr>
      <w:tr w:rsidR="0071276E" w:rsidRPr="00D80836" w:rsidTr="00443CEF">
        <w:trPr>
          <w:trHeight w:val="1000"/>
        </w:trPr>
        <w:tc>
          <w:tcPr>
            <w:tcW w:w="518" w:type="dxa"/>
            <w:vAlign w:val="center"/>
          </w:tcPr>
          <w:p w:rsidR="0071276E" w:rsidRDefault="001C70CB" w:rsidP="00083A1F">
            <w:pPr>
              <w:jc w:val="center"/>
              <w:rPr>
                <w:b/>
                <w:color w:val="000000"/>
                <w:sz w:val="22"/>
                <w:szCs w:val="22"/>
              </w:rPr>
            </w:pPr>
            <w:r>
              <w:rPr>
                <w:b/>
                <w:color w:val="000000"/>
                <w:sz w:val="22"/>
                <w:szCs w:val="22"/>
              </w:rPr>
              <w:t>2</w:t>
            </w:r>
          </w:p>
        </w:tc>
        <w:tc>
          <w:tcPr>
            <w:tcW w:w="1184" w:type="dxa"/>
            <w:vAlign w:val="center"/>
          </w:tcPr>
          <w:p w:rsidR="0071276E" w:rsidRDefault="0071276E" w:rsidP="00083A1F">
            <w:pPr>
              <w:rPr>
                <w:b/>
                <w:color w:val="000000"/>
                <w:sz w:val="20"/>
                <w:szCs w:val="20"/>
              </w:rPr>
            </w:pPr>
            <w:r>
              <w:rPr>
                <w:b/>
                <w:color w:val="000000"/>
                <w:sz w:val="20"/>
                <w:szCs w:val="20"/>
              </w:rPr>
              <w:t>В новій редакції</w:t>
            </w:r>
          </w:p>
          <w:p w:rsidR="0071276E" w:rsidRDefault="00E03FD1" w:rsidP="00083A1F">
            <w:pPr>
              <w:rPr>
                <w:b/>
                <w:color w:val="000000"/>
                <w:sz w:val="20"/>
                <w:szCs w:val="20"/>
              </w:rPr>
            </w:pPr>
            <w:r>
              <w:rPr>
                <w:b/>
                <w:color w:val="000000"/>
                <w:sz w:val="20"/>
                <w:szCs w:val="20"/>
              </w:rPr>
              <w:t xml:space="preserve">п.п.4.1.1. </w:t>
            </w:r>
            <w:r w:rsidR="001C70CB">
              <w:rPr>
                <w:b/>
                <w:color w:val="000000"/>
                <w:sz w:val="20"/>
                <w:szCs w:val="20"/>
              </w:rPr>
              <w:t>п.1</w:t>
            </w:r>
            <w:r>
              <w:rPr>
                <w:b/>
                <w:color w:val="000000"/>
                <w:sz w:val="20"/>
                <w:szCs w:val="20"/>
              </w:rPr>
              <w:t xml:space="preserve"> Розділу 4</w:t>
            </w:r>
            <w:r w:rsidR="001C70CB">
              <w:rPr>
                <w:b/>
                <w:color w:val="000000"/>
                <w:sz w:val="20"/>
                <w:szCs w:val="20"/>
              </w:rPr>
              <w:t xml:space="preserve"> </w:t>
            </w:r>
            <w:r w:rsidRPr="00E03FD1">
              <w:rPr>
                <w:b/>
                <w:color w:val="000000"/>
                <w:sz w:val="20"/>
                <w:szCs w:val="20"/>
              </w:rPr>
              <w:t xml:space="preserve">Кінцевий строк подання тендерної пропозиції </w:t>
            </w:r>
          </w:p>
        </w:tc>
        <w:tc>
          <w:tcPr>
            <w:tcW w:w="6945" w:type="dxa"/>
            <w:vAlign w:val="center"/>
          </w:tcPr>
          <w:p w:rsidR="00E03FD1" w:rsidRDefault="00E03FD1" w:rsidP="00E03FD1">
            <w:pPr>
              <w:widowControl w:val="0"/>
              <w:autoSpaceDE w:val="0"/>
              <w:jc w:val="both"/>
              <w:rPr>
                <w:lang w:eastAsia="zh-CN"/>
              </w:rPr>
            </w:pPr>
            <w:r>
              <w:rPr>
                <w:lang w:eastAsia="zh-CN"/>
              </w:rPr>
              <w:t xml:space="preserve">4.1.1. Кінцевий строк подання тендерних пропозицій (не менше ніж сім днів): </w:t>
            </w:r>
          </w:p>
          <w:p w:rsidR="00E03FD1" w:rsidRDefault="00E03FD1" w:rsidP="00E03FD1">
            <w:pPr>
              <w:widowControl w:val="0"/>
              <w:autoSpaceDE w:val="0"/>
              <w:jc w:val="both"/>
              <w:rPr>
                <w:lang w:eastAsia="zh-CN"/>
              </w:rPr>
            </w:pPr>
            <w:r>
              <w:rPr>
                <w:lang w:eastAsia="zh-CN"/>
              </w:rPr>
              <w:t>Дата - «</w:t>
            </w:r>
            <w:r w:rsidR="009D4E27">
              <w:rPr>
                <w:lang w:eastAsia="zh-CN"/>
              </w:rPr>
              <w:t>21</w:t>
            </w:r>
            <w:r>
              <w:rPr>
                <w:lang w:eastAsia="zh-CN"/>
              </w:rPr>
              <w:t>» лютого 2024 року</w:t>
            </w:r>
          </w:p>
          <w:p w:rsidR="0071276E" w:rsidRPr="00CA1363" w:rsidRDefault="00E03FD1" w:rsidP="00E03FD1">
            <w:pPr>
              <w:spacing w:line="264" w:lineRule="auto"/>
              <w:rPr>
                <w:b/>
                <w:color w:val="000000"/>
                <w:sz w:val="20"/>
                <w:szCs w:val="20"/>
              </w:rPr>
            </w:pPr>
            <w:r>
              <w:rPr>
                <w:lang w:eastAsia="zh-CN"/>
              </w:rPr>
              <w:t>Час – до 18:00 год.</w:t>
            </w:r>
          </w:p>
        </w:tc>
        <w:tc>
          <w:tcPr>
            <w:tcW w:w="7654" w:type="dxa"/>
            <w:vAlign w:val="center"/>
          </w:tcPr>
          <w:p w:rsidR="00E03FD1" w:rsidRDefault="00E03FD1" w:rsidP="00E03FD1">
            <w:pPr>
              <w:widowControl w:val="0"/>
              <w:autoSpaceDE w:val="0"/>
              <w:jc w:val="both"/>
              <w:rPr>
                <w:lang w:eastAsia="zh-CN"/>
              </w:rPr>
            </w:pPr>
            <w:r>
              <w:rPr>
                <w:lang w:eastAsia="zh-CN"/>
              </w:rPr>
              <w:t xml:space="preserve">4.1.1. Кінцевий строк подання тендерних пропозицій (не менше ніж сім днів): </w:t>
            </w:r>
          </w:p>
          <w:p w:rsidR="00E03FD1" w:rsidRDefault="00E03FD1" w:rsidP="00E03FD1">
            <w:pPr>
              <w:widowControl w:val="0"/>
              <w:autoSpaceDE w:val="0"/>
              <w:jc w:val="both"/>
              <w:rPr>
                <w:lang w:eastAsia="zh-CN"/>
              </w:rPr>
            </w:pPr>
            <w:r>
              <w:rPr>
                <w:lang w:eastAsia="zh-CN"/>
              </w:rPr>
              <w:t>Дата - «2</w:t>
            </w:r>
            <w:r w:rsidR="009D4E27">
              <w:rPr>
                <w:lang w:eastAsia="zh-CN"/>
              </w:rPr>
              <w:t>5</w:t>
            </w:r>
            <w:r>
              <w:rPr>
                <w:lang w:eastAsia="zh-CN"/>
              </w:rPr>
              <w:t>» лютого 2024 року</w:t>
            </w:r>
          </w:p>
          <w:p w:rsidR="0071276E" w:rsidRPr="00CA1363" w:rsidRDefault="00E03FD1" w:rsidP="00E03FD1">
            <w:pPr>
              <w:spacing w:line="264" w:lineRule="auto"/>
              <w:ind w:left="34"/>
              <w:rPr>
                <w:b/>
                <w:color w:val="000000"/>
                <w:sz w:val="20"/>
                <w:szCs w:val="20"/>
              </w:rPr>
            </w:pPr>
            <w:r>
              <w:rPr>
                <w:lang w:eastAsia="zh-CN"/>
              </w:rPr>
              <w:t>Час – до 18:00 год.</w:t>
            </w:r>
          </w:p>
        </w:tc>
      </w:tr>
      <w:tr w:rsidR="00E03FD1" w:rsidRPr="00D80836" w:rsidTr="00443CEF">
        <w:trPr>
          <w:trHeight w:val="1000"/>
        </w:trPr>
        <w:tc>
          <w:tcPr>
            <w:tcW w:w="518" w:type="dxa"/>
            <w:vAlign w:val="center"/>
          </w:tcPr>
          <w:p w:rsidR="00E03FD1" w:rsidRDefault="00E03FD1" w:rsidP="00E03FD1">
            <w:pPr>
              <w:jc w:val="center"/>
              <w:rPr>
                <w:b/>
                <w:color w:val="000000"/>
                <w:sz w:val="22"/>
                <w:szCs w:val="22"/>
              </w:rPr>
            </w:pPr>
            <w:r>
              <w:rPr>
                <w:b/>
                <w:color w:val="000000"/>
                <w:sz w:val="22"/>
                <w:szCs w:val="22"/>
              </w:rPr>
              <w:t>3</w:t>
            </w:r>
          </w:p>
        </w:tc>
        <w:tc>
          <w:tcPr>
            <w:tcW w:w="1184" w:type="dxa"/>
            <w:vAlign w:val="center"/>
          </w:tcPr>
          <w:p w:rsidR="00E03FD1" w:rsidRDefault="00E03FD1" w:rsidP="00E03FD1">
            <w:pPr>
              <w:rPr>
                <w:b/>
                <w:color w:val="000000"/>
                <w:sz w:val="20"/>
                <w:szCs w:val="20"/>
              </w:rPr>
            </w:pPr>
            <w:r>
              <w:rPr>
                <w:b/>
                <w:color w:val="000000"/>
                <w:sz w:val="20"/>
                <w:szCs w:val="20"/>
              </w:rPr>
              <w:t>Викласти додаток 2 до ТД в новій редакції</w:t>
            </w:r>
          </w:p>
        </w:tc>
        <w:tc>
          <w:tcPr>
            <w:tcW w:w="6945" w:type="dxa"/>
            <w:vAlign w:val="center"/>
          </w:tcPr>
          <w:p w:rsidR="00E03FD1" w:rsidRDefault="00E03FD1" w:rsidP="00E03FD1">
            <w:pPr>
              <w:widowControl w:val="0"/>
              <w:autoSpaceDE w:val="0"/>
              <w:jc w:val="both"/>
              <w:rPr>
                <w:lang w:eastAsia="zh-CN"/>
              </w:rPr>
            </w:pPr>
            <w:r>
              <w:rPr>
                <w:lang w:eastAsia="zh-CN"/>
              </w:rPr>
              <w:t xml:space="preserve">Додаток 2 до ТД в редакції </w:t>
            </w:r>
            <w:r w:rsidR="009D4E27">
              <w:rPr>
                <w:lang w:eastAsia="zh-CN"/>
              </w:rPr>
              <w:t>16</w:t>
            </w:r>
            <w:r>
              <w:rPr>
                <w:lang w:eastAsia="zh-CN"/>
              </w:rPr>
              <w:t>.02.2024 року</w:t>
            </w:r>
          </w:p>
        </w:tc>
        <w:tc>
          <w:tcPr>
            <w:tcW w:w="7654" w:type="dxa"/>
            <w:vAlign w:val="center"/>
          </w:tcPr>
          <w:p w:rsidR="00E03FD1" w:rsidRDefault="00E03FD1" w:rsidP="00E03FD1">
            <w:pPr>
              <w:widowControl w:val="0"/>
              <w:autoSpaceDE w:val="0"/>
              <w:jc w:val="both"/>
              <w:rPr>
                <w:lang w:eastAsia="zh-CN"/>
              </w:rPr>
            </w:pPr>
            <w:r>
              <w:rPr>
                <w:lang w:eastAsia="zh-CN"/>
              </w:rPr>
              <w:t xml:space="preserve">Додаток 2 до ТД в редакції </w:t>
            </w:r>
            <w:r w:rsidR="009D4E27">
              <w:rPr>
                <w:lang w:eastAsia="zh-CN"/>
              </w:rPr>
              <w:t>20</w:t>
            </w:r>
            <w:r>
              <w:rPr>
                <w:lang w:eastAsia="zh-CN"/>
              </w:rPr>
              <w:t>.02.2024 року</w:t>
            </w:r>
          </w:p>
        </w:tc>
      </w:tr>
    </w:tbl>
    <w:p w:rsidR="00B31274" w:rsidRDefault="00B31274"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r w:rsidR="00BE1FDD" w:rsidRPr="00BE1FDD">
        <w:rPr>
          <w:b/>
          <w:bCs/>
          <w:spacing w:val="1"/>
        </w:rPr>
        <w:t>Грищук Ю.В.</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C70CB"/>
    <w:rsid w:val="001F55A0"/>
    <w:rsid w:val="00226996"/>
    <w:rsid w:val="00237659"/>
    <w:rsid w:val="00244EB1"/>
    <w:rsid w:val="002D2BC5"/>
    <w:rsid w:val="002D5A77"/>
    <w:rsid w:val="002D5BEC"/>
    <w:rsid w:val="002F54CC"/>
    <w:rsid w:val="00323DFC"/>
    <w:rsid w:val="003840CF"/>
    <w:rsid w:val="00386B5E"/>
    <w:rsid w:val="00394EF7"/>
    <w:rsid w:val="003B4E84"/>
    <w:rsid w:val="003F6CC1"/>
    <w:rsid w:val="0040160C"/>
    <w:rsid w:val="00404ECE"/>
    <w:rsid w:val="00443CEF"/>
    <w:rsid w:val="004924A9"/>
    <w:rsid w:val="004B71E5"/>
    <w:rsid w:val="004E24AC"/>
    <w:rsid w:val="00502010"/>
    <w:rsid w:val="00590EC7"/>
    <w:rsid w:val="005E38E8"/>
    <w:rsid w:val="005E724C"/>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22518"/>
    <w:rsid w:val="00930C61"/>
    <w:rsid w:val="00933CE7"/>
    <w:rsid w:val="00944244"/>
    <w:rsid w:val="00976547"/>
    <w:rsid w:val="009C73E1"/>
    <w:rsid w:val="009D4E27"/>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1FDD"/>
    <w:rsid w:val="00BE7B00"/>
    <w:rsid w:val="00C51839"/>
    <w:rsid w:val="00C9049B"/>
    <w:rsid w:val="00C9455C"/>
    <w:rsid w:val="00CA1363"/>
    <w:rsid w:val="00CE3061"/>
    <w:rsid w:val="00D02F3C"/>
    <w:rsid w:val="00DB7F45"/>
    <w:rsid w:val="00DC099B"/>
    <w:rsid w:val="00DC57B4"/>
    <w:rsid w:val="00DE4E7F"/>
    <w:rsid w:val="00E02FE8"/>
    <w:rsid w:val="00E03FD1"/>
    <w:rsid w:val="00E32064"/>
    <w:rsid w:val="00E422BC"/>
    <w:rsid w:val="00E60F34"/>
    <w:rsid w:val="00E71699"/>
    <w:rsid w:val="00E81FCB"/>
    <w:rsid w:val="00EA6930"/>
    <w:rsid w:val="00EA71FA"/>
    <w:rsid w:val="00EE479C"/>
    <w:rsid w:val="00F35BAF"/>
    <w:rsid w:val="00F91BD8"/>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2806"/>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20C1-1C82-4780-8C69-5C0296F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42</cp:revision>
  <dcterms:created xsi:type="dcterms:W3CDTF">2022-11-21T12:37:00Z</dcterms:created>
  <dcterms:modified xsi:type="dcterms:W3CDTF">2024-02-20T08:53:00Z</dcterms:modified>
</cp:coreProperties>
</file>