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DF4C"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Гуманітарне управління</w:t>
      </w:r>
    </w:p>
    <w:p w14:paraId="69D13009"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Городоцької міської ради Львівської області</w:t>
      </w:r>
    </w:p>
    <w:p w14:paraId="192CC9C6" w14:textId="77777777" w:rsidR="0097372E" w:rsidRDefault="0097372E" w:rsidP="0097372E">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7372E" w14:paraId="195FF3C7" w14:textId="77777777" w:rsidTr="0097372E">
        <w:trPr>
          <w:trHeight w:val="352"/>
        </w:trPr>
        <w:tc>
          <w:tcPr>
            <w:tcW w:w="4640" w:type="dxa"/>
            <w:tcBorders>
              <w:top w:val="nil"/>
              <w:left w:val="nil"/>
              <w:bottom w:val="nil"/>
              <w:right w:val="nil"/>
            </w:tcBorders>
          </w:tcPr>
          <w:p w14:paraId="6645781C"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121DB972" w14:textId="77777777" w:rsidR="0097372E" w:rsidRDefault="0097372E">
            <w:pPr>
              <w:spacing w:after="0" w:line="240" w:lineRule="auto"/>
              <w:rPr>
                <w:rFonts w:ascii="Times New Roman" w:hAnsi="Times New Roman"/>
                <w:bCs/>
                <w:noProof/>
                <w:color w:val="000000"/>
                <w:sz w:val="24"/>
                <w:szCs w:val="24"/>
                <w:lang w:eastAsia="ru-RU"/>
              </w:rPr>
            </w:pPr>
            <w:r>
              <w:rPr>
                <w:rFonts w:ascii="Times New Roman" w:hAnsi="Times New Roman"/>
                <w:bCs/>
                <w:color w:val="000000"/>
                <w:sz w:val="24"/>
                <w:szCs w:val="24"/>
                <w:lang w:eastAsia="ru-RU"/>
              </w:rPr>
              <w:t>«</w:t>
            </w:r>
            <w:r>
              <w:rPr>
                <w:rFonts w:ascii="Times New Roman" w:hAnsi="Times New Roman"/>
                <w:bCs/>
                <w:noProof/>
                <w:color w:val="000000"/>
                <w:sz w:val="24"/>
                <w:szCs w:val="24"/>
                <w:lang w:eastAsia="ru-RU"/>
              </w:rPr>
              <w:t>ЗАТВЕРДЖЕНО</w:t>
            </w:r>
            <w:r>
              <w:rPr>
                <w:rFonts w:ascii="Times New Roman" w:hAnsi="Times New Roman"/>
                <w:bCs/>
                <w:color w:val="000000"/>
                <w:sz w:val="24"/>
                <w:szCs w:val="24"/>
                <w:lang w:eastAsia="ru-RU"/>
              </w:rPr>
              <w:t>»</w:t>
            </w:r>
          </w:p>
        </w:tc>
      </w:tr>
      <w:tr w:rsidR="0097372E" w14:paraId="53FEBEA9" w14:textId="77777777" w:rsidTr="0097372E">
        <w:trPr>
          <w:trHeight w:val="80"/>
        </w:trPr>
        <w:tc>
          <w:tcPr>
            <w:tcW w:w="4640" w:type="dxa"/>
            <w:tcBorders>
              <w:top w:val="nil"/>
              <w:left w:val="nil"/>
              <w:bottom w:val="nil"/>
              <w:right w:val="nil"/>
            </w:tcBorders>
          </w:tcPr>
          <w:p w14:paraId="1117D6F6"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5A9E61A6" w14:textId="77777777" w:rsidR="0097372E" w:rsidRDefault="0097372E">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Протоколом уповноваженої особи</w:t>
            </w:r>
          </w:p>
          <w:p w14:paraId="091505AF" w14:textId="6E2BB5F7" w:rsidR="0097372E" w:rsidRDefault="0097372E">
            <w:pPr>
              <w:tabs>
                <w:tab w:val="left" w:pos="567"/>
                <w:tab w:val="center" w:pos="4677"/>
                <w:tab w:val="right" w:pos="9355"/>
              </w:tabs>
              <w:spacing w:after="0" w:line="240" w:lineRule="auto"/>
              <w:rPr>
                <w:rFonts w:ascii="Times New Roman" w:hAnsi="Times New Roman"/>
                <w:noProof/>
                <w:color w:val="FF0000"/>
                <w:sz w:val="24"/>
                <w:szCs w:val="24"/>
                <w:lang w:eastAsia="ru-RU"/>
              </w:rPr>
            </w:pPr>
            <w:r>
              <w:rPr>
                <w:rFonts w:ascii="Times New Roman" w:hAnsi="Times New Roman"/>
                <w:noProof/>
                <w:color w:val="000000" w:themeColor="text1"/>
                <w:sz w:val="24"/>
                <w:szCs w:val="24"/>
                <w:lang w:eastAsia="ru-RU"/>
              </w:rPr>
              <w:t xml:space="preserve">№ </w:t>
            </w:r>
            <w:r w:rsidR="0022495B">
              <w:rPr>
                <w:rFonts w:ascii="Times New Roman" w:hAnsi="Times New Roman"/>
                <w:noProof/>
                <w:color w:val="000000" w:themeColor="text1"/>
                <w:sz w:val="24"/>
                <w:szCs w:val="24"/>
                <w:lang w:eastAsia="ru-RU"/>
              </w:rPr>
              <w:t>6/</w:t>
            </w:r>
            <w:bookmarkStart w:id="0" w:name="_GoBack"/>
            <w:bookmarkEnd w:id="0"/>
            <w:r>
              <w:rPr>
                <w:rFonts w:ascii="Times New Roman" w:hAnsi="Times New Roman"/>
                <w:noProof/>
                <w:color w:val="000000" w:themeColor="text1"/>
                <w:sz w:val="24"/>
                <w:szCs w:val="24"/>
                <w:lang w:eastAsia="ru-RU"/>
              </w:rPr>
              <w:t>2 від «</w:t>
            </w:r>
            <w:r w:rsidR="008A05E5">
              <w:rPr>
                <w:rFonts w:ascii="Times New Roman" w:hAnsi="Times New Roman"/>
                <w:noProof/>
                <w:color w:val="000000" w:themeColor="text1"/>
                <w:sz w:val="24"/>
                <w:szCs w:val="24"/>
                <w:lang w:eastAsia="ru-RU"/>
              </w:rPr>
              <w:t>29</w:t>
            </w:r>
            <w:r>
              <w:rPr>
                <w:rFonts w:ascii="Times New Roman" w:hAnsi="Times New Roman"/>
                <w:noProof/>
                <w:color w:val="000000" w:themeColor="text1"/>
                <w:sz w:val="24"/>
                <w:szCs w:val="24"/>
                <w:lang w:eastAsia="ru-RU"/>
              </w:rPr>
              <w:t>» лютого 202</w:t>
            </w:r>
            <w:r w:rsidR="008A05E5">
              <w:rPr>
                <w:rFonts w:ascii="Times New Roman" w:hAnsi="Times New Roman"/>
                <w:noProof/>
                <w:color w:val="000000" w:themeColor="text1"/>
                <w:sz w:val="24"/>
                <w:szCs w:val="24"/>
                <w:lang w:eastAsia="ru-RU"/>
              </w:rPr>
              <w:t>4</w:t>
            </w:r>
            <w:r>
              <w:rPr>
                <w:rFonts w:ascii="Times New Roman" w:hAnsi="Times New Roman"/>
                <w:noProof/>
                <w:color w:val="000000" w:themeColor="text1"/>
                <w:sz w:val="24"/>
                <w:szCs w:val="24"/>
                <w:lang w:eastAsia="ru-RU"/>
              </w:rPr>
              <w:t xml:space="preserve"> р.</w:t>
            </w:r>
            <w:r>
              <w:rPr>
                <w:rFonts w:ascii="Times New Roman" w:hAnsi="Times New Roman"/>
                <w:noProof/>
                <w:color w:val="FF0000"/>
                <w:sz w:val="24"/>
                <w:szCs w:val="24"/>
                <w:lang w:eastAsia="ru-RU"/>
              </w:rPr>
              <w:t xml:space="preserve"> </w:t>
            </w:r>
          </w:p>
          <w:p w14:paraId="0687BF07" w14:textId="77777777" w:rsidR="0097372E" w:rsidRDefault="0097372E">
            <w:pPr>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ar-SA"/>
              </w:rPr>
              <w:t>Нестер С.М.</w:t>
            </w:r>
          </w:p>
          <w:p w14:paraId="20B828B7" w14:textId="77777777" w:rsidR="0097372E" w:rsidRDefault="0097372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підпис,  МП</w:t>
            </w:r>
          </w:p>
        </w:tc>
      </w:tr>
    </w:tbl>
    <w:p w14:paraId="6EE52C7D"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68E8A21B"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3F9FD8D3"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24DE985"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32048F79"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400EE0B" w14:textId="77777777" w:rsidR="0097372E" w:rsidRDefault="0097372E" w:rsidP="0097372E">
      <w:pPr>
        <w:spacing w:after="0" w:line="240" w:lineRule="auto"/>
        <w:jc w:val="center"/>
        <w:rPr>
          <w:rFonts w:ascii="Times New Roman" w:eastAsia="Times New Roman" w:hAnsi="Times New Roman"/>
          <w:color w:val="000000"/>
          <w:sz w:val="44"/>
          <w:szCs w:val="44"/>
        </w:rPr>
      </w:pPr>
      <w:r>
        <w:rPr>
          <w:rFonts w:ascii="Times New Roman" w:eastAsia="Times New Roman" w:hAnsi="Times New Roman"/>
          <w:b/>
          <w:bCs/>
          <w:color w:val="000000"/>
          <w:sz w:val="44"/>
          <w:szCs w:val="44"/>
        </w:rPr>
        <w:t>ТЕНДЕРНА ДОКУМЕНТАЦІЯ</w:t>
      </w:r>
    </w:p>
    <w:p w14:paraId="62B91B13" w14:textId="77777777" w:rsidR="0097372E" w:rsidRDefault="0097372E" w:rsidP="0097372E">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b/>
          <w:bCs/>
          <w:color w:val="000000"/>
          <w:sz w:val="24"/>
          <w:szCs w:val="24"/>
        </w:rPr>
        <w:t> </w:t>
      </w:r>
      <w:r>
        <w:rPr>
          <w:rFonts w:ascii="Times New Roman" w:eastAsia="Times New Roman" w:hAnsi="Times New Roman"/>
          <w:color w:val="000000"/>
          <w:sz w:val="32"/>
          <w:szCs w:val="32"/>
        </w:rPr>
        <w:t>по процедурі</w:t>
      </w:r>
      <w:r>
        <w:rPr>
          <w:rFonts w:ascii="Times New Roman" w:eastAsia="Times New Roman" w:hAnsi="Times New Roman"/>
          <w:b/>
          <w:bCs/>
          <w:color w:val="000000"/>
          <w:sz w:val="32"/>
          <w:szCs w:val="32"/>
        </w:rPr>
        <w:t xml:space="preserve"> ВІДКРИТІ ТОРГИ</w:t>
      </w:r>
      <w:r>
        <w:rPr>
          <w:rFonts w:ascii="Times New Roman" w:eastAsia="Times New Roman" w:hAnsi="Times New Roman"/>
          <w:color w:val="000000"/>
          <w:sz w:val="32"/>
          <w:szCs w:val="32"/>
        </w:rPr>
        <w:t xml:space="preserve"> з особливостями</w:t>
      </w:r>
    </w:p>
    <w:p w14:paraId="72508423" w14:textId="12C9EC26" w:rsidR="0097372E" w:rsidRDefault="0097372E" w:rsidP="0097372E">
      <w:pPr>
        <w:shd w:val="clear" w:color="auto" w:fill="FFFFFF"/>
        <w:tabs>
          <w:tab w:val="left" w:pos="2127"/>
        </w:tabs>
        <w:spacing w:after="0" w:line="240" w:lineRule="auto"/>
        <w:jc w:val="center"/>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Код національного класифікатора України ДК 021:2015 “Єдиний закупівельний словник” – 15110000-2 – М’ясо (</w:t>
      </w:r>
      <w:r w:rsidR="008A05E5">
        <w:rPr>
          <w:rFonts w:ascii="Times New Roman" w:eastAsia="Times New Roman" w:hAnsi="Times New Roman"/>
          <w:b/>
          <w:color w:val="000000"/>
          <w:sz w:val="28"/>
          <w:szCs w:val="28"/>
        </w:rPr>
        <w:t>с</w:t>
      </w:r>
      <w:r>
        <w:rPr>
          <w:rFonts w:ascii="Times New Roman" w:eastAsia="Times New Roman" w:hAnsi="Times New Roman"/>
          <w:b/>
          <w:color w:val="000000"/>
          <w:sz w:val="28"/>
          <w:szCs w:val="28"/>
        </w:rPr>
        <w:t xml:space="preserve">винина - ДК 021-2015 (CPV) 15113000-3, </w:t>
      </w:r>
      <w:r w:rsidR="008A05E5">
        <w:rPr>
          <w:rFonts w:ascii="Times New Roman" w:hAnsi="Times New Roman"/>
          <w:b/>
          <w:bCs/>
          <w:color w:val="000000"/>
          <w:sz w:val="28"/>
          <w:szCs w:val="28"/>
        </w:rPr>
        <w:t>т</w:t>
      </w:r>
      <w:r>
        <w:rPr>
          <w:rFonts w:ascii="Times New Roman" w:hAnsi="Times New Roman"/>
          <w:b/>
          <w:bCs/>
          <w:color w:val="000000"/>
          <w:sz w:val="28"/>
          <w:szCs w:val="28"/>
        </w:rPr>
        <w:t xml:space="preserve">ушки курей - </w:t>
      </w:r>
      <w:r>
        <w:rPr>
          <w:rFonts w:ascii="Times New Roman" w:eastAsia="Times New Roman" w:hAnsi="Times New Roman"/>
          <w:b/>
          <w:color w:val="000000"/>
          <w:sz w:val="28"/>
          <w:szCs w:val="28"/>
        </w:rPr>
        <w:t>ДК 021-2015 (CPV) 15112130-6</w:t>
      </w:r>
      <w:r>
        <w:rPr>
          <w:rFonts w:ascii="Times New Roman" w:hAnsi="Times New Roman"/>
          <w:b/>
          <w:bCs/>
          <w:color w:val="000000"/>
          <w:sz w:val="28"/>
          <w:szCs w:val="28"/>
        </w:rPr>
        <w:t xml:space="preserve">, філе куряче - </w:t>
      </w:r>
      <w:r>
        <w:rPr>
          <w:rFonts w:ascii="Times New Roman" w:eastAsia="Times New Roman" w:hAnsi="Times New Roman"/>
          <w:b/>
          <w:color w:val="000000"/>
          <w:sz w:val="28"/>
          <w:szCs w:val="28"/>
        </w:rPr>
        <w:t>ДК 021-2015 (CPV) 15112130-6)</w:t>
      </w:r>
    </w:p>
    <w:p w14:paraId="15EA238F" w14:textId="77777777" w:rsidR="0097372E" w:rsidRDefault="0097372E" w:rsidP="0097372E">
      <w:pPr>
        <w:spacing w:after="0" w:line="240" w:lineRule="auto"/>
        <w:rPr>
          <w:rFonts w:ascii="Times New Roman" w:eastAsia="Times New Roman" w:hAnsi="Times New Roman"/>
          <w:color w:val="000000"/>
          <w:sz w:val="24"/>
          <w:szCs w:val="24"/>
          <w:highlight w:val="yellow"/>
          <w:lang w:eastAsia="ru-RU"/>
        </w:rPr>
      </w:pPr>
    </w:p>
    <w:p w14:paraId="5262EDB4" w14:textId="77777777" w:rsidR="0097372E" w:rsidRDefault="0097372E" w:rsidP="0097372E">
      <w:pPr>
        <w:spacing w:after="0" w:line="240" w:lineRule="auto"/>
        <w:rPr>
          <w:rFonts w:ascii="Times New Roman" w:eastAsia="Times New Roman" w:hAnsi="Times New Roman"/>
          <w:color w:val="000000"/>
          <w:sz w:val="24"/>
          <w:szCs w:val="24"/>
          <w:highlight w:val="yellow"/>
          <w:lang w:eastAsia="ru-RU"/>
        </w:rPr>
      </w:pPr>
    </w:p>
    <w:p w14:paraId="3845FA8B"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6FA96C6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1B09750"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EA9C77A"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2569758"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EF8E6E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0DBF2741"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9519B56"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4AC1315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08DF3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0B11E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D994E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7337CFA"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D4E48E1"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F4EB335"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93DDF6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B15D5E"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057DA4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55CDA3D"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62D1BD8"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B920476"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3BC1F849" w14:textId="77777777" w:rsidR="0097372E" w:rsidRDefault="0097372E" w:rsidP="0097372E">
      <w:pPr>
        <w:spacing w:after="0" w:line="240" w:lineRule="auto"/>
        <w:jc w:val="center"/>
        <w:rPr>
          <w:rFonts w:ascii="Times New Roman" w:eastAsia="Times New Roman" w:hAnsi="Times New Roman"/>
          <w:b/>
          <w:bCs/>
          <w:color w:val="000000"/>
          <w:sz w:val="28"/>
          <w:szCs w:val="28"/>
          <w:lang w:eastAsia="ru-RU"/>
        </w:rPr>
      </w:pPr>
    </w:p>
    <w:p w14:paraId="1B5EE50F" w14:textId="65A3A1F1" w:rsidR="0097372E" w:rsidRDefault="0097372E" w:rsidP="0097372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місто Городок  – 202</w:t>
      </w:r>
      <w:r w:rsidR="008A05E5">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рік</w:t>
      </w:r>
    </w:p>
    <w:p w14:paraId="22863071" w14:textId="77777777" w:rsidR="0097372E" w:rsidRDefault="0097372E" w:rsidP="0097372E">
      <w:pPr>
        <w:spacing w:after="0" w:line="240" w:lineRule="auto"/>
        <w:rPr>
          <w:rFonts w:ascii="Times New Roman" w:eastAsia="Times New Roman" w:hAnsi="Times New Roman" w:cs="Times New Roman"/>
          <w:sz w:val="24"/>
          <w:szCs w:val="24"/>
        </w:rPr>
      </w:pPr>
    </w:p>
    <w:p w14:paraId="10FD172D" w14:textId="5188840D" w:rsidR="008A05E5" w:rsidRDefault="008A05E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EB6F8" w14:textId="77777777" w:rsidR="0097372E" w:rsidRDefault="0097372E" w:rsidP="0097372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372E" w14:paraId="47587CCF" w14:textId="77777777" w:rsidTr="0097372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6ECEB2"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DFC6918" w14:textId="77777777" w:rsidR="0097372E" w:rsidRDefault="00973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372E" w14:paraId="67B63CB6" w14:textId="77777777" w:rsidTr="0097372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B8E8CB"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8C7742F"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C1110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372E" w14:paraId="2F7FC68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FAF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FECDD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92A6B5E"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B65E7F1"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372E" w14:paraId="18996913" w14:textId="77777777" w:rsidTr="0097372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3EF981C"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AB421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A123C20"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372E" w14:paraId="1E429886" w14:textId="77777777" w:rsidTr="0097372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0C263"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B0E2A8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59835437" w14:textId="77777777" w:rsidR="0097372E" w:rsidRPr="008A05E5" w:rsidRDefault="0097372E">
            <w:pPr>
              <w:jc w:val="both"/>
              <w:rPr>
                <w:rFonts w:ascii="Times New Roman" w:hAnsi="Times New Roman" w:cs="Times New Roman"/>
                <w:i/>
                <w:iCs/>
                <w:color w:val="000000" w:themeColor="text1"/>
                <w:sz w:val="24"/>
                <w:szCs w:val="24"/>
              </w:rPr>
            </w:pPr>
            <w:r w:rsidRPr="008A05E5">
              <w:rPr>
                <w:rStyle w:val="af8"/>
                <w:rFonts w:ascii="Times New Roman" w:hAnsi="Times New Roman" w:cs="Times New Roman"/>
                <w:b/>
                <w:color w:val="000000" w:themeColor="text1"/>
                <w:sz w:val="24"/>
                <w:szCs w:val="24"/>
              </w:rPr>
              <w:t>Гуманітарне управління Городоцької</w:t>
            </w:r>
            <w:r w:rsidRPr="008A05E5">
              <w:rPr>
                <w:rFonts w:ascii="Times New Roman" w:hAnsi="Times New Roman" w:cs="Times New Roman"/>
                <w:b/>
                <w:color w:val="000000" w:themeColor="text1"/>
                <w:sz w:val="24"/>
                <w:szCs w:val="24"/>
              </w:rPr>
              <w:t xml:space="preserve"> міської ради Львівської області</w:t>
            </w:r>
          </w:p>
        </w:tc>
      </w:tr>
      <w:tr w:rsidR="0097372E" w14:paraId="1104DEC8" w14:textId="77777777" w:rsidTr="0097372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BE21EA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CBEBB92"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C2E8DDB"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rPr>
              <w:t>вулиця Джерельна, будинок 16, місто Городок, Львівська область, 81500</w:t>
            </w:r>
          </w:p>
        </w:tc>
      </w:tr>
      <w:tr w:rsidR="0097372E" w14:paraId="6F3AE70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3586E"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66C42928"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0E6BE264"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8A05E5">
              <w:rPr>
                <w:rStyle w:val="af8"/>
                <w:b/>
                <w:color w:val="000000" w:themeColor="text1"/>
                <w:sz w:val="24"/>
                <w:szCs w:val="24"/>
              </w:rPr>
              <w:t>уповноважена особа замовника</w:t>
            </w:r>
            <w:r w:rsidRPr="008A05E5">
              <w:rPr>
                <w:b/>
                <w:color w:val="000000" w:themeColor="text1"/>
                <w:sz w:val="24"/>
                <w:szCs w:val="24"/>
              </w:rPr>
              <w:t xml:space="preserve">, </w:t>
            </w:r>
          </w:p>
          <w:p w14:paraId="5BD8CE4C"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тел.: 068 620 00 30, </w:t>
            </w:r>
          </w:p>
          <w:p w14:paraId="276F2DC0"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lang w:val="en-US"/>
              </w:rPr>
              <w:t>e-mail: gorodokgum@gmail.com</w:t>
            </w:r>
          </w:p>
        </w:tc>
      </w:tr>
      <w:tr w:rsidR="0097372E" w14:paraId="20D926A2" w14:textId="77777777" w:rsidTr="0097372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1BEE8CA"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3F56C04"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93DBF1B" w14:textId="77777777" w:rsidR="0097372E" w:rsidRDefault="00973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97372E" w14:paraId="147576DA" w14:textId="77777777" w:rsidTr="0097372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ABD4B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C0B5AD9"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AA91ACA"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372E" w14:paraId="20388B38" w14:textId="77777777" w:rsidTr="0097372E">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95D36E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8100E1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6AFA526A" w14:textId="77777777" w:rsidR="0097372E" w:rsidRDefault="0097372E">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Зазначити найменування предмета закупівлі</w:t>
            </w:r>
          </w:p>
        </w:tc>
      </w:tr>
      <w:tr w:rsidR="0097372E" w14:paraId="2AFE7B58"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41AD99" w14:textId="77777777" w:rsidR="0097372E" w:rsidRDefault="00973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56ADA0A5" w14:textId="77777777" w:rsidR="0097372E" w:rsidRDefault="00973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DF8C084" w14:textId="7FA0A156" w:rsidR="0097372E" w:rsidRDefault="008A05E5">
            <w:pPr>
              <w:widowControl w:val="0"/>
              <w:jc w:val="both"/>
              <w:rPr>
                <w:rFonts w:ascii="Times New Roman" w:eastAsia="Times New Roman" w:hAnsi="Times New Roman" w:cs="Times New Roman"/>
                <w:i/>
                <w:color w:val="000000" w:themeColor="text1"/>
                <w:sz w:val="24"/>
                <w:szCs w:val="24"/>
              </w:rPr>
            </w:pPr>
            <w:r w:rsidRPr="008A05E5">
              <w:rPr>
                <w:rFonts w:ascii="Times New Roman" w:eastAsia="Times New Roman" w:hAnsi="Times New Roman"/>
                <w:b/>
                <w:color w:val="000000" w:themeColor="text1"/>
                <w:sz w:val="24"/>
                <w:szCs w:val="24"/>
              </w:rPr>
              <w:t>Код національного класифікатора України ДК 021:2015 “Єдиний закупівельний словник” – 15110000-2 – М’ясо (свинина - ДК 021-2015 (CPV) 15113000-3, тушки курей - ДК 021-2015 (CPV) 15112130-6, філе куряче - ДК 021-2015 (CPV) 15112130-6)</w:t>
            </w:r>
          </w:p>
        </w:tc>
      </w:tr>
      <w:tr w:rsidR="0097372E" w14:paraId="1CDD94C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EAE5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tcPr>
          <w:p w14:paraId="370240FA"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6C8391DB" w14:textId="77777777" w:rsidR="0097372E" w:rsidRDefault="0097372E">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0E7F7300"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w:t>
            </w:r>
          </w:p>
          <w:p w14:paraId="4A6B84F7" w14:textId="77777777" w:rsidR="0097372E" w:rsidRDefault="0097372E">
            <w:pPr>
              <w:widowControl w:val="0"/>
              <w:ind w:right="1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Свинина  - 1400 кг, </w:t>
            </w:r>
          </w:p>
          <w:p w14:paraId="19D8D9E4" w14:textId="77777777" w:rsidR="0097372E" w:rsidRDefault="0097372E">
            <w:pPr>
              <w:widowControl w:val="0"/>
              <w:ind w:right="1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Тушки курей – 2940 кг, </w:t>
            </w:r>
          </w:p>
          <w:p w14:paraId="2F2BB15B" w14:textId="77777777" w:rsidR="0097372E" w:rsidRDefault="009737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b/>
                <w:color w:val="000000"/>
                <w:sz w:val="24"/>
                <w:szCs w:val="24"/>
              </w:rPr>
              <w:t xml:space="preserve">Філе куряче – </w:t>
            </w:r>
            <w:r>
              <w:rPr>
                <w:rFonts w:ascii="Times New Roman" w:eastAsia="Times New Roman" w:hAnsi="Times New Roman" w:cs="Times New Roman"/>
                <w:b/>
                <w:color w:val="000000"/>
                <w:sz w:val="24"/>
                <w:szCs w:val="24"/>
              </w:rPr>
              <w:t>3120 кг,</w:t>
            </w:r>
          </w:p>
          <w:p w14:paraId="01A686DB" w14:textId="77777777" w:rsidR="0097372E" w:rsidRDefault="0097372E">
            <w:pPr>
              <w:widowControl w:val="0"/>
              <w:ind w:right="119"/>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lastRenderedPageBreak/>
              <w:t xml:space="preserve">Місце поставки товарів: </w:t>
            </w:r>
          </w:p>
          <w:p w14:paraId="6C9033C8" w14:textId="77777777" w:rsidR="0097372E" w:rsidRDefault="0097372E">
            <w:pPr>
              <w:keepNext/>
              <w:keepLines/>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731F70A6"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317263"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3BFE10F7" w14:textId="77777777" w:rsidR="0097372E" w:rsidRDefault="0097372E">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p>
        </w:tc>
      </w:tr>
      <w:tr w:rsidR="0097372E" w14:paraId="7B740992"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BA1168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Borders>
              <w:top w:val="single" w:sz="4" w:space="0" w:color="000000"/>
              <w:left w:val="single" w:sz="4" w:space="0" w:color="000000"/>
              <w:bottom w:val="single" w:sz="4" w:space="0" w:color="000000"/>
              <w:right w:val="single" w:sz="4" w:space="0" w:color="000000"/>
            </w:tcBorders>
            <w:hideMark/>
          </w:tcPr>
          <w:p w14:paraId="6DE9B4B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9C5FC7D"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  31 грудня  2024року </w:t>
            </w:r>
          </w:p>
        </w:tc>
      </w:tr>
      <w:tr w:rsidR="0097372E" w14:paraId="19872F47"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A00ECA"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06432D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4EFEA184"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372E" w14:paraId="4E24147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D86F7"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79F993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20C55A40"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372E" w14:paraId="1C67581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2743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7FA26C40"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151FCB8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CF289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553E69"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48314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6BF7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3D0AAF"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CFA12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372E" w14:paraId="27D7FFED" w14:textId="77777777" w:rsidTr="0097372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3AB909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372E" w14:paraId="053DA67E" w14:textId="77777777" w:rsidTr="0097372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481EA9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7122F66"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FB135E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D63DD"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B9CEED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82F0D0"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5D4570" w14:textId="77777777" w:rsidR="0097372E" w:rsidRDefault="00973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372E" w14:paraId="1E92D34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28EA3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1AE33E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309B1F5" w14:textId="77777777" w:rsidR="0097372E" w:rsidRDefault="00973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8A05E5">
              <w:rPr>
                <w:rFonts w:ascii="Times New Roman" w:eastAsia="Times New Roman" w:hAnsi="Times New Roman" w:cs="Times New Roman"/>
                <w:color w:val="000000" w:themeColor="text1"/>
                <w:sz w:val="24"/>
                <w:szCs w:val="24"/>
                <w:highlight w:val="white"/>
              </w:rPr>
              <w:t xml:space="preserve">висновку органу державного фінансового контролю відповідно до </w:t>
            </w:r>
            <w:hyperlink r:id="rId6" w:anchor="n960" w:history="1">
              <w:r w:rsidRPr="008A05E5">
                <w:rPr>
                  <w:rStyle w:val="a3"/>
                  <w:rFonts w:ascii="Times New Roman" w:eastAsia="Times New Roman" w:hAnsi="Times New Roman" w:cs="Times New Roman"/>
                  <w:color w:val="000000" w:themeColor="text1"/>
                  <w:sz w:val="24"/>
                  <w:szCs w:val="24"/>
                  <w:highlight w:val="white"/>
                  <w:u w:val="none"/>
                </w:rPr>
                <w:t>статті 8</w:t>
              </w:r>
            </w:hyperlink>
            <w:r w:rsidRPr="008A05E5">
              <w:rPr>
                <w:rFonts w:ascii="Times New Roman" w:eastAsia="Times New Roman" w:hAnsi="Times New Roman" w:cs="Times New Roman"/>
                <w:color w:val="000000" w:themeColor="text1"/>
                <w:sz w:val="24"/>
                <w:szCs w:val="24"/>
                <w:highlight w:val="white"/>
              </w:rPr>
              <w:t xml:space="preserve"> Закону</w:t>
            </w:r>
            <w:r>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FCCE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72E" w14:paraId="303F07DD" w14:textId="77777777" w:rsidTr="0097372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1BFA58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7372E" w14:paraId="4A449CD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1D638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B7F41DF"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C0F0B8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39720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Pr="008A05E5">
              <w:rPr>
                <w:rFonts w:ascii="Times New Roman" w:eastAsia="Times New Roman" w:hAnsi="Times New Roman" w:cs="Times New Roman"/>
                <w:color w:val="000000" w:themeColor="text1"/>
                <w:sz w:val="24"/>
                <w:szCs w:val="24"/>
                <w:highlight w:val="white"/>
              </w:rPr>
              <w:t>) встановлення, наявність/відсутність підстав, установлених у </w:t>
            </w:r>
            <w:hyperlink r:id="rId7" w:anchor="n1261" w:history="1">
              <w:r w:rsidRPr="008A05E5">
                <w:rPr>
                  <w:rStyle w:val="a3"/>
                  <w:rFonts w:ascii="Times New Roman" w:eastAsia="Times New Roman" w:hAnsi="Times New Roman" w:cs="Times New Roman"/>
                  <w:color w:val="000000" w:themeColor="text1"/>
                  <w:sz w:val="24"/>
                  <w:szCs w:val="24"/>
                  <w:highlight w:val="white"/>
                  <w:u w:val="none"/>
                </w:rPr>
                <w:t>пункті 47</w:t>
              </w:r>
            </w:hyperlink>
            <w:r w:rsidRPr="008A05E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14:paraId="0ED8AE1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9C8F7D"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397909"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Додатком 1 </w:t>
            </w:r>
            <w:r>
              <w:rPr>
                <w:rFonts w:ascii="Times New Roman" w:eastAsia="Times New Roman" w:hAnsi="Times New Roman" w:cs="Times New Roman"/>
                <w:color w:val="000000" w:themeColor="text1"/>
                <w:sz w:val="24"/>
                <w:szCs w:val="24"/>
              </w:rPr>
              <w:t>до цієї тендерної документації;</w:t>
            </w:r>
          </w:p>
          <w:p w14:paraId="15E54B2E"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з Додатком 2</w:t>
            </w:r>
            <w:r>
              <w:rPr>
                <w:rFonts w:ascii="Times New Roman" w:eastAsia="Times New Roman" w:hAnsi="Times New Roman" w:cs="Times New Roman"/>
                <w:color w:val="000000" w:themeColor="text1"/>
                <w:sz w:val="24"/>
                <w:szCs w:val="24"/>
              </w:rPr>
              <w:t xml:space="preserve"> до тендерної документації;</w:t>
            </w:r>
          </w:p>
          <w:p w14:paraId="1881CF66"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6FE2B8F"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1FD9ECE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6635A74"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91C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AC3E2B"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14:paraId="1AD9FBDF" w14:textId="77777777" w:rsidR="0097372E" w:rsidRDefault="0097372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A0646B" w14:textId="77777777" w:rsidR="0097372E" w:rsidRDefault="00973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F391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14:paraId="6D543F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7451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C24BD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E336D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BBAC8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D56E8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AFE54E9"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0C520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B29E7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754A1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823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68D83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3AFFA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6EB5C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40AD1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E549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F95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7A6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48A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527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AC547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317B8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5CAE2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14:paraId="2D91F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3DFCB0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B7DC1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267288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8A30C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27D7664" w14:textId="77777777" w:rsidR="0097372E" w:rsidRDefault="00973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33B419"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90C76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3F57C0"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161F3D"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9B953BB"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CE0E57"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D08FE8A"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eastAsia="Times New Roman" w:hAnsi="Times New Roman" w:cs="Times New Roman"/>
                <w:b/>
                <w:color w:val="000000"/>
                <w:sz w:val="24"/>
                <w:szCs w:val="24"/>
              </w:rPr>
              <w:lastRenderedPageBreak/>
              <w:t>накладати на нього свій КЕП/УЕП.</w:t>
            </w:r>
          </w:p>
          <w:p w14:paraId="1D19D34B"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CBB1F3" w14:textId="77777777" w:rsidR="0097372E" w:rsidRDefault="00973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76789D"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E07DC" w14:textId="77777777" w:rsidR="0097372E" w:rsidRDefault="0097372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8078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8F874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7372E" w14:paraId="2F18D049" w14:textId="77777777" w:rsidTr="0097372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5417783" w14:textId="77777777" w:rsidR="0097372E" w:rsidRDefault="0097372E">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92B82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6AF88A9"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571A82CD" w14:textId="77777777" w:rsidR="0097372E" w:rsidRDefault="0097372E">
            <w:pPr>
              <w:jc w:val="both"/>
              <w:rPr>
                <w:rFonts w:ascii="Times New Roman" w:eastAsia="Times New Roman" w:hAnsi="Times New Roman" w:cs="Times New Roman"/>
                <w:i/>
                <w:color w:val="FF0000"/>
                <w:sz w:val="24"/>
                <w:szCs w:val="24"/>
                <w:highlight w:val="yellow"/>
              </w:rPr>
            </w:pPr>
          </w:p>
        </w:tc>
      </w:tr>
      <w:tr w:rsidR="0097372E" w14:paraId="3A650E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B43E1" w14:textId="77777777" w:rsidR="0097372E" w:rsidRDefault="0097372E">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367F3E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60453E8" w14:textId="77777777" w:rsidR="0097372E" w:rsidRDefault="0097372E">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 передбачається.</w:t>
            </w:r>
          </w:p>
          <w:p w14:paraId="1F13E2A5" w14:textId="77777777" w:rsidR="0097372E" w:rsidRDefault="0097372E">
            <w:pPr>
              <w:widowControl w:val="0"/>
              <w:ind w:right="120"/>
              <w:jc w:val="both"/>
              <w:rPr>
                <w:rFonts w:ascii="Times New Roman" w:eastAsia="Times New Roman" w:hAnsi="Times New Roman" w:cs="Times New Roman"/>
                <w:sz w:val="24"/>
                <w:szCs w:val="24"/>
                <w:highlight w:val="yellow"/>
              </w:rPr>
            </w:pPr>
          </w:p>
          <w:p w14:paraId="58EA950E" w14:textId="77777777" w:rsidR="0097372E" w:rsidRDefault="0097372E">
            <w:pPr>
              <w:jc w:val="both"/>
              <w:rPr>
                <w:rFonts w:ascii="Times New Roman" w:eastAsia="Times New Roman" w:hAnsi="Times New Roman" w:cs="Times New Roman"/>
                <w:sz w:val="24"/>
                <w:szCs w:val="24"/>
              </w:rPr>
            </w:pPr>
          </w:p>
        </w:tc>
      </w:tr>
      <w:tr w:rsidR="0097372E" w14:paraId="3668ADD8" w14:textId="77777777" w:rsidTr="0097372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1D726F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5FF7D9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582073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85B780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14:paraId="0818CDCF" w14:textId="77777777" w:rsidR="0097372E" w:rsidRDefault="00973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9C3E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0A95E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265A73"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372E" w14:paraId="6435832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E1F68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3FBCA38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42DACBEF"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E71C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EEE277"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772B18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11F1D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6D4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BCD94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E88A8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17420D"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4D9A8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D200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28C3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3A653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8AD4A"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2CDB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E71FD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E9F9A" w14:textId="77777777" w:rsidR="0097372E" w:rsidRDefault="0097372E">
            <w:pPr>
              <w:jc w:val="both"/>
              <w:rPr>
                <w:rFonts w:ascii="Times New Roman" w:eastAsia="Times New Roman" w:hAnsi="Times New Roman" w:cs="Times New Roman"/>
                <w:sz w:val="24"/>
                <w:szCs w:val="24"/>
                <w:highlight w:val="white"/>
              </w:rPr>
            </w:pPr>
          </w:p>
          <w:p w14:paraId="45FDBEDF"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904861" w14:textId="77777777" w:rsidR="0097372E" w:rsidRDefault="00973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372E" w14:paraId="08E998C9"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F49DA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A50AB2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3C35D92"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r w:rsidRPr="008A05E5">
              <w:rPr>
                <w:rFonts w:ascii="Times New Roman" w:eastAsia="Times New Roman" w:hAnsi="Times New Roman" w:cs="Times New Roman"/>
                <w:color w:val="000000" w:themeColor="text1"/>
                <w:sz w:val="24"/>
                <w:szCs w:val="24"/>
              </w:rPr>
              <w:t>з</w:t>
            </w:r>
            <w:hyperlink r:id="rId10" w:history="1">
              <w:r w:rsidRPr="008A05E5">
                <w:rPr>
                  <w:rStyle w:val="a3"/>
                  <w:rFonts w:ascii="Times New Roman" w:eastAsia="Times New Roman" w:hAnsi="Times New Roman" w:cs="Times New Roman"/>
                  <w:color w:val="000000" w:themeColor="text1"/>
                  <w:sz w:val="24"/>
                  <w:szCs w:val="24"/>
                  <w:u w:val="none"/>
                </w:rPr>
                <w:t xml:space="preserve"> пунктом третім </w:t>
              </w:r>
            </w:hyperlink>
            <w:hyperlink r:id="rId11" w:history="1">
              <w:r w:rsidRPr="008A05E5">
                <w:rPr>
                  <w:rStyle w:val="a3"/>
                  <w:rFonts w:ascii="Times New Roman" w:eastAsia="Times New Roman" w:hAnsi="Times New Roman" w:cs="Times New Roman"/>
                  <w:color w:val="000000" w:themeColor="text1"/>
                  <w:sz w:val="24"/>
                  <w:szCs w:val="24"/>
                  <w:u w:val="none"/>
                </w:rPr>
                <w:t>частини друго</w:t>
              </w:r>
            </w:hyperlink>
            <w:r w:rsidRPr="008A05E5">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372E" w14:paraId="394A245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71C5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4269D0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862FF91"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14:paraId="18F33857" w14:textId="77777777" w:rsidR="0097372E" w:rsidRDefault="0097372E">
            <w:pPr>
              <w:widowControl w:val="0"/>
              <w:ind w:right="120"/>
              <w:jc w:val="both"/>
              <w:rPr>
                <w:rFonts w:ascii="Times New Roman" w:eastAsia="Times New Roman" w:hAnsi="Times New Roman" w:cs="Times New Roman"/>
                <w:b/>
                <w:sz w:val="24"/>
                <w:szCs w:val="24"/>
                <w:highlight w:val="cyan"/>
              </w:rPr>
            </w:pPr>
          </w:p>
          <w:p w14:paraId="45C53334" w14:textId="77777777" w:rsidR="0097372E" w:rsidRDefault="0097372E">
            <w:pPr>
              <w:widowControl w:val="0"/>
              <w:ind w:right="120"/>
              <w:jc w:val="both"/>
              <w:rPr>
                <w:rFonts w:ascii="Times New Roman" w:eastAsia="Times New Roman" w:hAnsi="Times New Roman" w:cs="Times New Roman"/>
                <w:sz w:val="24"/>
                <w:szCs w:val="24"/>
              </w:rPr>
            </w:pPr>
          </w:p>
        </w:tc>
      </w:tr>
      <w:tr w:rsidR="0097372E" w14:paraId="0A2CB595"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FE36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5A3FE8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F682A5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97372E" w14:paraId="31584E5D" w14:textId="77777777" w:rsidTr="0097372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EB95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7372E" w14:paraId="0DD1F75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C31C0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F17150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8DA6C0" w14:textId="18297DDA" w:rsidR="0097372E" w:rsidRDefault="00973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A05E5" w:rsidRPr="008A05E5">
              <w:rPr>
                <w:rFonts w:ascii="Times New Roman" w:eastAsia="Times New Roman" w:hAnsi="Times New Roman" w:cs="Times New Roman"/>
                <w:b/>
                <w:color w:val="000000" w:themeColor="text1"/>
                <w:sz w:val="24"/>
                <w:szCs w:val="24"/>
              </w:rPr>
              <w:t>08</w:t>
            </w:r>
            <w:r w:rsidRPr="008A05E5">
              <w:rPr>
                <w:rFonts w:ascii="Times New Roman" w:eastAsia="Times New Roman" w:hAnsi="Times New Roman" w:cs="Times New Roman"/>
                <w:b/>
                <w:color w:val="000000" w:themeColor="text1"/>
                <w:sz w:val="24"/>
                <w:szCs w:val="24"/>
              </w:rPr>
              <w:t xml:space="preserve"> </w:t>
            </w:r>
            <w:r w:rsidR="008A05E5" w:rsidRPr="008A05E5">
              <w:rPr>
                <w:rFonts w:ascii="Times New Roman" w:eastAsia="Times New Roman" w:hAnsi="Times New Roman" w:cs="Times New Roman"/>
                <w:b/>
                <w:color w:val="000000" w:themeColor="text1"/>
                <w:sz w:val="24"/>
                <w:szCs w:val="24"/>
              </w:rPr>
              <w:t>березня 2024 рок</w:t>
            </w:r>
            <w:r w:rsidRPr="008A05E5">
              <w:rPr>
                <w:rFonts w:ascii="Times New Roman" w:eastAsia="Times New Roman" w:hAnsi="Times New Roman" w:cs="Times New Roman"/>
                <w:b/>
                <w:color w:val="000000" w:themeColor="text1"/>
                <w:sz w:val="24"/>
                <w:szCs w:val="24"/>
              </w:rPr>
              <w:t xml:space="preserve">у, </w:t>
            </w:r>
            <w:r w:rsidR="008A05E5" w:rsidRPr="008A05E5">
              <w:rPr>
                <w:rFonts w:ascii="Times New Roman" w:eastAsia="Times New Roman" w:hAnsi="Times New Roman" w:cs="Times New Roman"/>
                <w:b/>
                <w:color w:val="000000" w:themeColor="text1"/>
                <w:sz w:val="24"/>
                <w:szCs w:val="24"/>
              </w:rPr>
              <w:t>0</w:t>
            </w:r>
            <w:r w:rsidRPr="008A05E5">
              <w:rPr>
                <w:rFonts w:ascii="Times New Roman" w:eastAsia="Times New Roman" w:hAnsi="Times New Roman" w:cs="Times New Roman"/>
                <w:b/>
                <w:color w:val="000000" w:themeColor="text1"/>
                <w:sz w:val="24"/>
                <w:szCs w:val="24"/>
              </w:rPr>
              <w:t>0:00 год.</w:t>
            </w:r>
            <w:r w:rsidRPr="008A05E5">
              <w:rPr>
                <w:rFonts w:ascii="Times New Roman" w:eastAsia="Times New Roman" w:hAnsi="Times New Roman" w:cs="Times New Roman"/>
                <w:color w:val="000000" w:themeColor="text1"/>
                <w:sz w:val="24"/>
                <w:szCs w:val="24"/>
              </w:rPr>
              <w:t xml:space="preserve"> </w:t>
            </w:r>
          </w:p>
          <w:p w14:paraId="6C42CFF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321E9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CD30B2"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372E" w14:paraId="448638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0A231D"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EF1E1F4" w14:textId="77777777" w:rsidR="0097372E" w:rsidRDefault="00973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076465B"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75B612"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D6C667"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8A05E5">
                <w:rPr>
                  <w:rStyle w:val="a3"/>
                  <w:rFonts w:ascii="Times New Roman" w:eastAsia="Times New Roman" w:hAnsi="Times New Roman" w:cs="Times New Roman"/>
                  <w:color w:val="000000" w:themeColor="text1"/>
                  <w:sz w:val="24"/>
                  <w:szCs w:val="24"/>
                  <w:highlight w:val="white"/>
                  <w:u w:val="none"/>
                </w:rPr>
                <w:t>47</w:t>
              </w:r>
            </w:hyperlink>
            <w:r w:rsidRPr="008A05E5">
              <w:rPr>
                <w:rFonts w:ascii="Times New Roman" w:eastAsia="Times New Roman" w:hAnsi="Times New Roman" w:cs="Times New Roman"/>
                <w:color w:val="000000" w:themeColor="text1"/>
                <w:sz w:val="24"/>
                <w:szCs w:val="24"/>
                <w:highlight w:val="white"/>
              </w:rPr>
              <w:t xml:space="preserve"> Особливостей.</w:t>
            </w:r>
          </w:p>
        </w:tc>
      </w:tr>
      <w:tr w:rsidR="0097372E" w14:paraId="0CFFCC9B" w14:textId="77777777" w:rsidTr="0097372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C1F6F5A" w14:textId="77777777" w:rsidR="0097372E" w:rsidRPr="008A05E5" w:rsidRDefault="0097372E">
            <w:pPr>
              <w:widowControl w:val="0"/>
              <w:jc w:val="center"/>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b/>
                <w:color w:val="000000" w:themeColor="text1"/>
                <w:sz w:val="24"/>
                <w:szCs w:val="24"/>
              </w:rPr>
              <w:t>Розділ 5. Оцінка тендерної пропозиції</w:t>
            </w:r>
          </w:p>
        </w:tc>
      </w:tr>
      <w:tr w:rsidR="0097372E" w14:paraId="2EA3456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901F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AE432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1529C0F"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8A05E5">
                <w:rPr>
                  <w:rStyle w:val="a3"/>
                  <w:rFonts w:ascii="Times New Roman" w:eastAsia="Times New Roman" w:hAnsi="Times New Roman" w:cs="Times New Roman"/>
                  <w:color w:val="000000" w:themeColor="text1"/>
                  <w:sz w:val="24"/>
                  <w:szCs w:val="24"/>
                  <w:highlight w:val="white"/>
                  <w:u w:val="none"/>
                </w:rPr>
                <w:t>шістнадцятої</w:t>
              </w:r>
            </w:hyperlink>
            <w:r w:rsidRPr="008A05E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939DF71"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3DAC6C"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Критерії та методика оцінки визначаються відповідно до </w:t>
            </w:r>
            <w:r w:rsidRPr="008A05E5">
              <w:rPr>
                <w:rFonts w:ascii="Times New Roman" w:eastAsia="Times New Roman" w:hAnsi="Times New Roman" w:cs="Times New Roman"/>
                <w:color w:val="000000" w:themeColor="text1"/>
                <w:sz w:val="24"/>
                <w:szCs w:val="24"/>
                <w:highlight w:val="white"/>
              </w:rPr>
              <w:lastRenderedPageBreak/>
              <w:t>статті 29 Закону.</w:t>
            </w:r>
          </w:p>
          <w:p w14:paraId="350C71D1" w14:textId="77777777" w:rsidR="0097372E" w:rsidRPr="008A05E5" w:rsidRDefault="0097372E">
            <w:pPr>
              <w:widowControl w:val="0"/>
              <w:jc w:val="both"/>
              <w:rPr>
                <w:rFonts w:ascii="Times New Roman" w:eastAsia="Times New Roman" w:hAnsi="Times New Roman" w:cs="Times New Roman"/>
                <w:b/>
                <w:color w:val="000000" w:themeColor="text1"/>
                <w:sz w:val="24"/>
                <w:szCs w:val="24"/>
                <w:highlight w:val="white"/>
              </w:rPr>
            </w:pPr>
            <w:r w:rsidRPr="008A05E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39773CD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64C1E5"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white"/>
              </w:rPr>
            </w:pPr>
            <w:r w:rsidRPr="008A05E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A6F28DC"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7F6261"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yellow"/>
              </w:rPr>
            </w:pPr>
            <w:r w:rsidRPr="008A05E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EDF0A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358F68" w14:textId="77777777" w:rsidR="0097372E" w:rsidRPr="008A05E5" w:rsidRDefault="0097372E">
            <w:pPr>
              <w:widowControl w:val="0"/>
              <w:jc w:val="both"/>
              <w:rPr>
                <w:rFonts w:ascii="Times New Roman" w:eastAsia="Times New Roman" w:hAnsi="Times New Roman" w:cs="Times New Roman"/>
                <w:b/>
                <w:color w:val="000000" w:themeColor="text1"/>
                <w:sz w:val="24"/>
                <w:szCs w:val="24"/>
              </w:rPr>
            </w:pPr>
            <w:r w:rsidRPr="008A05E5">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CB5BBA"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w:t>
            </w:r>
            <w:r w:rsidRPr="008A05E5">
              <w:rPr>
                <w:rFonts w:ascii="Times New Roman" w:eastAsia="Times New Roman" w:hAnsi="Times New Roman" w:cs="Times New Roman"/>
                <w:color w:val="000000" w:themeColor="text1"/>
                <w:sz w:val="24"/>
                <w:szCs w:val="24"/>
              </w:rPr>
              <w:lastRenderedPageBreak/>
              <w:t>критерію „Ціна”. Питома вага – 100 %.</w:t>
            </w:r>
          </w:p>
          <w:p w14:paraId="768ACB5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A750C6"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ED28E2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p>
        </w:tc>
      </w:tr>
      <w:tr w:rsidR="0097372E" w14:paraId="3A8AF44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AB64B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2431BC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38D0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74A00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2B089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F5C54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9EEE2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22CC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1B43A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FF7567"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A479D26"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64A581"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E1284"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924D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56887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D56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A98BB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w:t>
            </w:r>
            <w:r>
              <w:rPr>
                <w:rFonts w:ascii="Times New Roman" w:eastAsia="Times New Roman" w:hAnsi="Times New Roman" w:cs="Times New Roman"/>
                <w:sz w:val="24"/>
                <w:szCs w:val="24"/>
              </w:rPr>
              <w:lastRenderedPageBreak/>
              <w:t xml:space="preserve">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9617F1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5645A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A70B5"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82983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161BE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8F696"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color w:val="000000" w:themeColor="text1"/>
                <w:sz w:val="24"/>
                <w:szCs w:val="24"/>
              </w:rPr>
              <w:t>режимі імпорту товарів з Російської Федерації;</w:t>
            </w:r>
          </w:p>
          <w:p w14:paraId="13589C88"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79BE2F"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w:t>
            </w: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highlight w:val="white"/>
              </w:rPr>
              <w:t xml:space="preserve"> з</w:t>
            </w:r>
            <w:r>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w:t>
            </w:r>
            <w:r>
              <w:rPr>
                <w:rFonts w:ascii="Times New Roman" w:eastAsia="Times New Roman" w:hAnsi="Times New Roman" w:cs="Times New Roman"/>
                <w:color w:val="000000" w:themeColor="text1"/>
                <w:sz w:val="24"/>
                <w:szCs w:val="24"/>
                <w:highlight w:val="white"/>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4"/>
                <w:szCs w:val="24"/>
              </w:rPr>
              <w:t>;</w:t>
            </w:r>
          </w:p>
          <w:p w14:paraId="5E81F46D" w14:textId="77777777" w:rsidR="0097372E" w:rsidRDefault="009737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7372E" w14:paraId="64ECAAB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948B6"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7F76BE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F415AD" w14:textId="77777777" w:rsidR="0097372E" w:rsidRDefault="00973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3F058A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684D69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29C20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05C94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07AC3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66AAC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B1497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w:t>
            </w:r>
            <w:r>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14:paraId="355C192C" w14:textId="77777777" w:rsidR="0097372E" w:rsidRDefault="0097372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E76A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C5A3A4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A05E5">
                <w:rPr>
                  <w:rStyle w:val="a3"/>
                  <w:rFonts w:ascii="Times New Roman" w:eastAsia="Times New Roman" w:hAnsi="Times New Roman" w:cs="Times New Roman"/>
                  <w:color w:val="000000" w:themeColor="text1"/>
                  <w:sz w:val="24"/>
                  <w:szCs w:val="24"/>
                  <w:highlight w:val="white"/>
                  <w:u w:val="none"/>
                </w:rPr>
                <w:t>пункту 4</w:t>
              </w:r>
            </w:hyperlink>
            <w:r w:rsidRPr="008A05E5">
              <w:rPr>
                <w:rFonts w:ascii="Times New Roman" w:eastAsia="Times New Roman" w:hAnsi="Times New Roman" w:cs="Times New Roman"/>
                <w:color w:val="000000" w:themeColor="text1"/>
                <w:sz w:val="24"/>
                <w:szCs w:val="24"/>
                <w:highlight w:val="white"/>
              </w:rPr>
              <w:t>3 ци</w:t>
            </w:r>
            <w:r>
              <w:rPr>
                <w:rFonts w:ascii="Times New Roman" w:eastAsia="Times New Roman" w:hAnsi="Times New Roman" w:cs="Times New Roman"/>
                <w:sz w:val="24"/>
                <w:szCs w:val="24"/>
                <w:highlight w:val="white"/>
              </w:rPr>
              <w:t>х особливостей;</w:t>
            </w:r>
          </w:p>
          <w:p w14:paraId="0C79D72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94009E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68C98E41"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63468E"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96817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F2725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B2C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8FEB0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7C733" w14:textId="77777777" w:rsidR="0097372E" w:rsidRDefault="00973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6E1EC0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9D118"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750CD"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14:paraId="31F37C19"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372E" w14:paraId="1CA61FC1" w14:textId="77777777" w:rsidTr="0097372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5D1972" w14:textId="77777777" w:rsidR="0097372E" w:rsidRDefault="00973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372E" w14:paraId="30A98A9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CF3D3"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DC2AEC8"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0B81349"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C8AF4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F86B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49252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23CCC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74705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06CFB0"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5A661B"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0C0B79"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210FD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69F171"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3604E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7372E" w14:paraId="4775AC1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589E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7F9649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9431A5"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41636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F45C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7372E" w14:paraId="4670319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576212"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B5A081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7F5DD28"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E323034" w14:textId="77777777" w:rsidR="0097372E" w:rsidRDefault="00973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2E" w14:paraId="1FFF0A7C" w14:textId="77777777" w:rsidTr="0097372E">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592AC9D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98D229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67559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F05D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D191B" w14:textId="77777777" w:rsidR="0097372E" w:rsidRDefault="00973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F8F9F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14:paraId="6A9AA5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BE2E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color w:val="000000" w:themeColor="text1"/>
                <w:sz w:val="24"/>
                <w:szCs w:val="24"/>
              </w:rPr>
              <w:t>(залишити у разі закупівлі товару, який можна привести до кратності упаковки)</w:t>
            </w:r>
            <w:r>
              <w:rPr>
                <w:rFonts w:ascii="Times New Roman" w:eastAsia="Times New Roman" w:hAnsi="Times New Roman" w:cs="Times New Roman"/>
                <w:color w:val="000000" w:themeColor="text1"/>
                <w:sz w:val="24"/>
                <w:szCs w:val="24"/>
              </w:rPr>
              <w:t>.</w:t>
            </w:r>
          </w:p>
        </w:tc>
      </w:tr>
      <w:tr w:rsidR="0097372E" w14:paraId="45AF3F33"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41F41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3ED7C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4E99017"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F499A3E" w14:textId="77777777" w:rsidR="0097372E" w:rsidRDefault="0097372E">
            <w:pPr>
              <w:widowControl w:val="0"/>
              <w:jc w:val="both"/>
              <w:rPr>
                <w:rFonts w:ascii="Times New Roman" w:eastAsia="Times New Roman" w:hAnsi="Times New Roman" w:cs="Times New Roman"/>
                <w:sz w:val="24"/>
                <w:szCs w:val="24"/>
              </w:rPr>
            </w:pPr>
          </w:p>
        </w:tc>
      </w:tr>
    </w:tbl>
    <w:p w14:paraId="6F1858F9" w14:textId="77777777" w:rsidR="0097372E" w:rsidRDefault="0097372E" w:rsidP="0097372E">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14:paraId="4AC17246" w14:textId="77777777" w:rsidR="008A05E5" w:rsidRDefault="0097372E"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1A334F" w14:textId="06139B0D" w:rsidR="0097372E"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1 до тендерної документації</w:t>
      </w:r>
      <w:r>
        <w:rPr>
          <w:rFonts w:ascii="Times New Roman" w:eastAsia="Times New Roman" w:hAnsi="Times New Roman" w:cs="Times New Roman"/>
          <w:sz w:val="24"/>
          <w:szCs w:val="24"/>
        </w:rPr>
        <w:t xml:space="preserve">. </w:t>
      </w:r>
      <w:r w:rsidRPr="008A05E5">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highlight w:val="white"/>
        </w:rPr>
        <w:t>;</w:t>
      </w:r>
    </w:p>
    <w:p w14:paraId="4C2F1213" w14:textId="0C8850A9" w:rsidR="0097372E" w:rsidRPr="008A05E5"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 xml:space="preserve">ток 2 до тендерної документації. </w:t>
      </w:r>
      <w:r w:rsidRPr="008A05E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Pr>
          <w:rFonts w:ascii="Times New Roman" w:eastAsia="Times New Roman" w:hAnsi="Times New Roman" w:cs="Times New Roman"/>
          <w:sz w:val="24"/>
          <w:szCs w:val="24"/>
          <w:highlight w:val="white"/>
        </w:rPr>
        <w:t>;</w:t>
      </w:r>
    </w:p>
    <w:p w14:paraId="44D53B78" w14:textId="4818ADC0" w:rsidR="0097372E"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7372E">
        <w:rPr>
          <w:rFonts w:ascii="Times New Roman" w:eastAsia="Times New Roman" w:hAnsi="Times New Roman" w:cs="Times New Roman"/>
          <w:sz w:val="24"/>
          <w:szCs w:val="24"/>
          <w:highlight w:val="white"/>
        </w:rPr>
        <w:t xml:space="preserve"> Дода</w:t>
      </w:r>
      <w:r>
        <w:rPr>
          <w:rFonts w:ascii="Times New Roman" w:eastAsia="Times New Roman" w:hAnsi="Times New Roman" w:cs="Times New Roman"/>
          <w:sz w:val="24"/>
          <w:szCs w:val="24"/>
          <w:highlight w:val="white"/>
        </w:rPr>
        <w:t>ток 3 до тендерної документації. Проєкт договору;</w:t>
      </w:r>
    </w:p>
    <w:p w14:paraId="75CE8207" w14:textId="1EC9BC7B" w:rsidR="008A05E5"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A05E5">
        <w:rPr>
          <w:rFonts w:ascii="Times New Roman" w:eastAsia="Times New Roman" w:hAnsi="Times New Roman" w:cs="Times New Roman"/>
          <w:sz w:val="24"/>
          <w:szCs w:val="24"/>
        </w:rPr>
        <w:t>Додаток 3 до тендерної документації</w:t>
      </w:r>
      <w:r>
        <w:rPr>
          <w:rFonts w:ascii="Times New Roman" w:eastAsia="Times New Roman" w:hAnsi="Times New Roman" w:cs="Times New Roman"/>
          <w:sz w:val="24"/>
          <w:szCs w:val="24"/>
        </w:rPr>
        <w:t xml:space="preserve">. </w:t>
      </w:r>
      <w:r w:rsidR="002F4486" w:rsidRPr="002F4486">
        <w:rPr>
          <w:rFonts w:ascii="Times New Roman" w:eastAsia="Times New Roman" w:hAnsi="Times New Roman" w:cs="Times New Roman"/>
          <w:sz w:val="24"/>
          <w:szCs w:val="24"/>
        </w:rPr>
        <w:t>ФОРМА «ТЕНДЕРНА ПРОПОЗИЦІЯ»</w:t>
      </w:r>
      <w:r w:rsidR="002F4486">
        <w:rPr>
          <w:rFonts w:ascii="Times New Roman" w:eastAsia="Times New Roman" w:hAnsi="Times New Roman" w:cs="Times New Roman"/>
          <w:sz w:val="24"/>
          <w:szCs w:val="24"/>
        </w:rPr>
        <w:t>.</w:t>
      </w:r>
    </w:p>
    <w:p w14:paraId="58B11328" w14:textId="77777777" w:rsidR="008A05E5" w:rsidRDefault="008A05E5" w:rsidP="0097372E">
      <w:pPr>
        <w:rPr>
          <w:rFonts w:ascii="Times New Roman" w:eastAsia="Times New Roman" w:hAnsi="Times New Roman" w:cs="Times New Roman"/>
          <w:highlight w:val="white"/>
        </w:rPr>
      </w:pPr>
    </w:p>
    <w:p w14:paraId="435738E5" w14:textId="77777777" w:rsidR="0097372E" w:rsidRDefault="0097372E" w:rsidP="009737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2E7BEB"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65487DE"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ED0A8A" w14:textId="77777777" w:rsidR="0097372E" w:rsidRDefault="0097372E" w:rsidP="009737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7BA477E" w14:textId="77777777" w:rsidR="0097372E" w:rsidRDefault="0097372E" w:rsidP="0097372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55943F" w14:textId="77777777" w:rsidR="0097372E" w:rsidRDefault="0097372E" w:rsidP="0097372E">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97372E" w14:paraId="4FC97D08" w14:textId="77777777" w:rsidTr="009737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52F2C"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F6F3F"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B8993"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7372E" w14:paraId="51985CB5" w14:textId="77777777" w:rsidTr="0097372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E7152"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E6527"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7DB6781" w14:textId="77777777" w:rsidR="0097372E" w:rsidRDefault="0097372E">
            <w:pPr>
              <w:spacing w:after="0" w:line="240" w:lineRule="auto"/>
              <w:rPr>
                <w:rFonts w:ascii="Times New Roman" w:eastAsia="Times New Roman" w:hAnsi="Times New Roman" w:cs="Times New Roman"/>
                <w:sz w:val="20"/>
                <w:szCs w:val="20"/>
              </w:rPr>
            </w:pPr>
          </w:p>
          <w:p w14:paraId="471E8DA4"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C94E1"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14:paraId="1B5886CF"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14:paraId="386C3E73" w14:textId="77777777" w:rsidR="002F4486" w:rsidRDefault="0097372E"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r w:rsidR="002F4486">
              <w:rPr>
                <w:rFonts w:ascii="Times New Roman" w:eastAsia="Times New Roman" w:hAnsi="Times New Roman" w:cs="Times New Roman"/>
                <w:color w:val="000000"/>
                <w:sz w:val="20"/>
                <w:szCs w:val="20"/>
              </w:rPr>
              <w:t>.</w:t>
            </w:r>
          </w:p>
          <w:p w14:paraId="379B45F8" w14:textId="266973D0" w:rsidR="00B0549A" w:rsidRPr="00B0549A" w:rsidRDefault="002F4486"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 xml:space="preserve">Документ </w:t>
            </w:r>
            <w:r w:rsidR="00B0549A" w:rsidRPr="002F4486">
              <w:rPr>
                <w:rFonts w:ascii="Times New Roman" w:eastAsia="Times New Roman" w:hAnsi="Times New Roman" w:cs="Times New Roman"/>
                <w:color w:val="000000"/>
                <w:sz w:val="20"/>
                <w:szCs w:val="20"/>
              </w:rPr>
              <w:t>виданий учаснику процедури закупівлі</w:t>
            </w:r>
            <w:r w:rsidRPr="002F4486">
              <w:rPr>
                <w:rFonts w:ascii="Times New Roman" w:eastAsia="Times New Roman" w:hAnsi="Times New Roman" w:cs="Times New Roman"/>
                <w:color w:val="000000"/>
                <w:sz w:val="20"/>
                <w:szCs w:val="20"/>
              </w:rPr>
              <w:t xml:space="preserve"> </w:t>
            </w:r>
            <w:r w:rsidR="00B0549A" w:rsidRPr="002F4486">
              <w:rPr>
                <w:rFonts w:ascii="Times New Roman" w:eastAsia="Times New Roman" w:hAnsi="Times New Roman" w:cs="Times New Roman"/>
                <w:color w:val="000000"/>
                <w:sz w:val="20"/>
                <w:szCs w:val="20"/>
              </w:rPr>
              <w:t>Державною службою України з питань безпечності харчових продуктів та захисту споживачів аб</w:t>
            </w:r>
            <w:r w:rsidRPr="002F4486">
              <w:rPr>
                <w:rFonts w:ascii="Times New Roman" w:eastAsia="Times New Roman" w:hAnsi="Times New Roman" w:cs="Times New Roman"/>
                <w:color w:val="000000"/>
                <w:sz w:val="20"/>
                <w:szCs w:val="20"/>
              </w:rPr>
              <w:t>о її територіальним управлінням,</w:t>
            </w:r>
            <w:r w:rsidR="00B0549A" w:rsidRPr="002F4486">
              <w:rPr>
                <w:rFonts w:ascii="Times New Roman" w:eastAsia="Times New Roman" w:hAnsi="Times New Roman" w:cs="Times New Roman"/>
                <w:color w:val="000000"/>
                <w:sz w:val="20"/>
                <w:szCs w:val="20"/>
              </w:rPr>
              <w:t xml:space="preserve"> складений за результатами проведення заходу державного контролю у формі аудиту постійно діючих процедур, зас</w:t>
            </w:r>
            <w:r w:rsidRPr="002F4486">
              <w:rPr>
                <w:rFonts w:ascii="Times New Roman" w:eastAsia="Times New Roman" w:hAnsi="Times New Roman" w:cs="Times New Roman"/>
                <w:color w:val="000000"/>
                <w:sz w:val="20"/>
                <w:szCs w:val="20"/>
              </w:rPr>
              <w:t>нованих на принципах НАССР (документ повинен містити інформацію про відсутність</w:t>
            </w:r>
            <w:r w:rsidR="00B0549A" w:rsidRPr="002F4486">
              <w:rPr>
                <w:rFonts w:ascii="Times New Roman" w:eastAsia="Times New Roman" w:hAnsi="Times New Roman" w:cs="Times New Roman"/>
                <w:color w:val="000000"/>
                <w:sz w:val="20"/>
                <w:szCs w:val="20"/>
              </w:rPr>
              <w:t xml:space="preserve"> виявлених порушень)</w:t>
            </w:r>
            <w:r w:rsidRPr="002F4486">
              <w:rPr>
                <w:rFonts w:ascii="Times New Roman" w:eastAsia="Times New Roman" w:hAnsi="Times New Roman" w:cs="Times New Roman"/>
                <w:color w:val="000000"/>
                <w:sz w:val="20"/>
                <w:szCs w:val="20"/>
              </w:rPr>
              <w:t>.</w:t>
            </w:r>
          </w:p>
          <w:p w14:paraId="457FC43E" w14:textId="1CD3AC07" w:rsidR="0097372E" w:rsidRDefault="0097372E" w:rsidP="002F448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F448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Документ, яким підтверджується державна реєстрація потужностей оператора ринку щодо виробництва та/або обігу харчових продуктів </w:t>
            </w:r>
            <w:r w:rsidR="002F4486">
              <w:rPr>
                <w:rFonts w:ascii="Times New Roman" w:eastAsia="Times New Roman" w:hAnsi="Times New Roman" w:cs="Times New Roman"/>
                <w:color w:val="000000"/>
                <w:sz w:val="20"/>
                <w:szCs w:val="20"/>
              </w:rPr>
              <w:t xml:space="preserve">виданий </w:t>
            </w:r>
            <w:r>
              <w:rPr>
                <w:rFonts w:ascii="Times New Roman" w:eastAsia="Times New Roman" w:hAnsi="Times New Roman" w:cs="Times New Roman"/>
                <w:color w:val="000000"/>
                <w:sz w:val="20"/>
                <w:szCs w:val="20"/>
              </w:rPr>
              <w:t xml:space="preserve">на </w:t>
            </w:r>
            <w:r w:rsidR="002F4486">
              <w:rPr>
                <w:rFonts w:ascii="Times New Roman" w:eastAsia="Times New Roman" w:hAnsi="Times New Roman" w:cs="Times New Roman"/>
                <w:color w:val="000000"/>
                <w:sz w:val="20"/>
                <w:szCs w:val="20"/>
              </w:rPr>
              <w:t xml:space="preserve">ім’я </w:t>
            </w:r>
            <w:r>
              <w:rPr>
                <w:rFonts w:ascii="Times New Roman" w:eastAsia="Times New Roman" w:hAnsi="Times New Roman" w:cs="Times New Roman"/>
                <w:color w:val="000000"/>
                <w:sz w:val="20"/>
                <w:szCs w:val="20"/>
              </w:rPr>
              <w:t>Учасника; документ, яким підтверджується реєстрація потужностей на транспортні засоби</w:t>
            </w:r>
            <w:r w:rsidR="002F4486">
              <w:rPr>
                <w:rFonts w:ascii="Times New Roman" w:eastAsia="Times New Roman" w:hAnsi="Times New Roman" w:cs="Times New Roman"/>
                <w:color w:val="000000"/>
                <w:sz w:val="20"/>
                <w:szCs w:val="20"/>
              </w:rPr>
              <w:t xml:space="preserve"> (не менше двох)</w:t>
            </w:r>
            <w:r>
              <w:rPr>
                <w:rFonts w:ascii="Times New Roman" w:eastAsia="Times New Roman" w:hAnsi="Times New Roman" w:cs="Times New Roman"/>
                <w:color w:val="000000"/>
                <w:sz w:val="20"/>
                <w:szCs w:val="20"/>
              </w:rPr>
              <w:t xml:space="preserve">; документ </w:t>
            </w:r>
            <w:r w:rsidR="002F4486">
              <w:rPr>
                <w:rFonts w:ascii="Times New Roman" w:eastAsia="Times New Roman" w:hAnsi="Times New Roman" w:cs="Times New Roman"/>
                <w:color w:val="000000"/>
                <w:sz w:val="20"/>
                <w:szCs w:val="20"/>
              </w:rPr>
              <w:t>який підтверджує проведення дос</w:t>
            </w:r>
            <w:r>
              <w:rPr>
                <w:rFonts w:ascii="Times New Roman" w:eastAsia="Times New Roman" w:hAnsi="Times New Roman" w:cs="Times New Roman"/>
                <w:color w:val="000000"/>
                <w:sz w:val="20"/>
                <w:szCs w:val="20"/>
              </w:rPr>
              <w:t>лідження змивів на патогенну та умовнопатогенну мікрофлору транспортних засобів</w:t>
            </w:r>
            <w:r w:rsidR="00264018">
              <w:rPr>
                <w:rFonts w:ascii="Times New Roman" w:eastAsia="Times New Roman" w:hAnsi="Times New Roman" w:cs="Times New Roman"/>
                <w:color w:val="000000"/>
                <w:sz w:val="20"/>
                <w:szCs w:val="20"/>
              </w:rPr>
              <w:t xml:space="preserve"> </w:t>
            </w:r>
            <w:r w:rsidR="002F4486">
              <w:rPr>
                <w:rFonts w:ascii="Times New Roman" w:eastAsia="Times New Roman" w:hAnsi="Times New Roman" w:cs="Times New Roman"/>
                <w:color w:val="000000"/>
                <w:sz w:val="20"/>
                <w:szCs w:val="20"/>
              </w:rPr>
              <w:t>проведених у 2024 році.</w:t>
            </w:r>
            <w:r w:rsidR="00264018">
              <w:rPr>
                <w:rFonts w:ascii="Times New Roman" w:eastAsia="Times New Roman" w:hAnsi="Times New Roman" w:cs="Times New Roman"/>
                <w:color w:val="000000"/>
                <w:sz w:val="20"/>
                <w:szCs w:val="20"/>
              </w:rPr>
              <w:t xml:space="preserve"> </w:t>
            </w:r>
          </w:p>
        </w:tc>
      </w:tr>
      <w:tr w:rsidR="0097372E" w14:paraId="601B50C1" w14:textId="77777777" w:rsidTr="0097372E">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71F4"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948E"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6320C92D"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A906"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5BAB37AD" w14:textId="77777777" w:rsidR="0097372E" w:rsidRDefault="0097372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97372E" w14:paraId="23C14D94" w14:textId="77777777">
              <w:tc>
                <w:tcPr>
                  <w:tcW w:w="6288" w:type="dxa"/>
                  <w:gridSpan w:val="4"/>
                  <w:tcBorders>
                    <w:top w:val="single" w:sz="4" w:space="0" w:color="000000"/>
                    <w:left w:val="single" w:sz="4" w:space="0" w:color="000000"/>
                    <w:bottom w:val="single" w:sz="4" w:space="0" w:color="000000"/>
                    <w:right w:val="single" w:sz="4" w:space="0" w:color="000000"/>
                  </w:tcBorders>
                  <w:hideMark/>
                </w:tcPr>
                <w:p w14:paraId="5283C249"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7372E" w14:paraId="2801C83B" w14:textId="77777777">
              <w:tc>
                <w:tcPr>
                  <w:tcW w:w="1526" w:type="dxa"/>
                  <w:tcBorders>
                    <w:top w:val="single" w:sz="4" w:space="0" w:color="000000"/>
                    <w:left w:val="single" w:sz="4" w:space="0" w:color="000000"/>
                    <w:bottom w:val="single" w:sz="4" w:space="0" w:color="000000"/>
                    <w:right w:val="single" w:sz="4" w:space="0" w:color="000000"/>
                  </w:tcBorders>
                  <w:hideMark/>
                </w:tcPr>
                <w:p w14:paraId="49C9DF30"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14:paraId="608405A8"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14:paraId="43D9FA56"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1C659C3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14:paraId="0125F3AC"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97372E" w14:paraId="3FC27CDA" w14:textId="77777777">
              <w:tc>
                <w:tcPr>
                  <w:tcW w:w="1526" w:type="dxa"/>
                  <w:tcBorders>
                    <w:top w:val="single" w:sz="4" w:space="0" w:color="000000"/>
                    <w:left w:val="single" w:sz="4" w:space="0" w:color="000000"/>
                    <w:bottom w:val="single" w:sz="4" w:space="0" w:color="000000"/>
                    <w:right w:val="single" w:sz="4" w:space="0" w:color="000000"/>
                  </w:tcBorders>
                </w:tcPr>
                <w:p w14:paraId="676B427E" w14:textId="77777777" w:rsidR="0097372E" w:rsidRDefault="0097372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E2D6EC" w14:textId="77777777" w:rsidR="0097372E" w:rsidRDefault="0097372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15BD02F" w14:textId="77777777" w:rsidR="0097372E" w:rsidRDefault="0097372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A4E7A9C" w14:textId="77777777" w:rsidR="0097372E" w:rsidRDefault="0097372E">
                  <w:pPr>
                    <w:spacing w:after="0" w:line="240" w:lineRule="auto"/>
                    <w:rPr>
                      <w:rFonts w:ascii="Times New Roman" w:eastAsia="Times New Roman" w:hAnsi="Times New Roman" w:cs="Times New Roman"/>
                      <w:sz w:val="20"/>
                      <w:szCs w:val="20"/>
                    </w:rPr>
                  </w:pPr>
                </w:p>
              </w:tc>
            </w:tr>
          </w:tbl>
          <w:p w14:paraId="233C8A4B" w14:textId="77777777" w:rsidR="0097372E" w:rsidRDefault="0097372E">
            <w:pPr>
              <w:spacing w:after="0" w:line="240" w:lineRule="auto"/>
              <w:rPr>
                <w:rFonts w:ascii="Times New Roman" w:eastAsia="Times New Roman" w:hAnsi="Times New Roman" w:cs="Times New Roman"/>
                <w:sz w:val="20"/>
                <w:szCs w:val="20"/>
              </w:rPr>
            </w:pPr>
          </w:p>
          <w:p w14:paraId="64922394"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14:paraId="556BD7C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Pr>
                <w:rFonts w:ascii="Times New Roman" w:eastAsia="Times New Roman" w:hAnsi="Times New Roman" w:cs="Times New Roman"/>
                <w:sz w:val="20"/>
                <w:szCs w:val="20"/>
              </w:rPr>
              <w:lastRenderedPageBreak/>
              <w:t xml:space="preserve">№1-ОМК «Особиста медична книжка», затвердженою наказом Міністерства охорони здоров’я України від 21 лютого 2013 № 150. </w:t>
            </w:r>
          </w:p>
          <w:p w14:paraId="2541E687"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14:paraId="6C359ED5" w14:textId="6DF5D2E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 xml:space="preserve">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w:t>
            </w:r>
            <w:r w:rsidR="00351589">
              <w:rPr>
                <w:rFonts w:ascii="Times New Roman" w:hAnsi="Times New Roman"/>
                <w:color w:val="00000A"/>
                <w:sz w:val="20"/>
                <w:szCs w:val="20"/>
                <w:shd w:val="clear" w:color="auto" w:fill="FFFFFF"/>
              </w:rPr>
              <w:t xml:space="preserve">або 2024 </w:t>
            </w:r>
            <w:r>
              <w:rPr>
                <w:rFonts w:ascii="Times New Roman" w:hAnsi="Times New Roman"/>
                <w:color w:val="00000A"/>
                <w:sz w:val="20"/>
                <w:szCs w:val="20"/>
                <w:shd w:val="clear" w:color="auto" w:fill="FFFFFF"/>
              </w:rPr>
              <w:t>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97372E" w14:paraId="3943376D" w14:textId="77777777" w:rsidTr="0097372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5F43A"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0F1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C94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0AB9B49"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14:paraId="1271137B" w14:textId="1164776A"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sidR="00351589">
              <w:rPr>
                <w:rFonts w:ascii="Times New Roman" w:eastAsia="Times New Roman" w:hAnsi="Times New Roman" w:cs="Times New Roman"/>
                <w:sz w:val="20"/>
                <w:szCs w:val="20"/>
              </w:rPr>
              <w:t xml:space="preserve"> </w:t>
            </w:r>
            <w:r w:rsidR="00351589">
              <w:rPr>
                <w:rFonts w:ascii="Times New Roman" w:eastAsia="Times New Roman" w:hAnsi="Times New Roman" w:cs="Times New Roman"/>
                <w:sz w:val="20"/>
                <w:szCs w:val="20"/>
              </w:rPr>
              <w:t>в</w:t>
            </w:r>
            <w:r w:rsidR="00351589">
              <w:rPr>
                <w:rFonts w:ascii="Times New Roman" w:eastAsia="Times New Roman" w:hAnsi="Times New Roman" w:cs="Times New Roman"/>
                <w:color w:val="000000"/>
                <w:sz w:val="20"/>
                <w:szCs w:val="20"/>
              </w:rPr>
              <w:t xml:space="preserve"> повному обсязі</w:t>
            </w:r>
            <w:r w:rsidR="00351589">
              <w:rPr>
                <w:rFonts w:ascii="Times New Roman" w:eastAsia="Times New Roman" w:hAnsi="Times New Roman" w:cs="Times New Roman"/>
                <w:color w:val="000000"/>
                <w:sz w:val="20"/>
                <w:szCs w:val="20"/>
              </w:rPr>
              <w:t xml:space="preserve">, який </w:t>
            </w:r>
            <w:r>
              <w:rPr>
                <w:rFonts w:ascii="Times New Roman" w:eastAsia="Times New Roman" w:hAnsi="Times New Roman" w:cs="Times New Roman"/>
                <w:color w:val="000000"/>
                <w:sz w:val="20"/>
                <w:szCs w:val="20"/>
              </w:rPr>
              <w:t xml:space="preserve">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17050A49" w14:textId="3BAE2BE9" w:rsidR="0097372E" w:rsidRDefault="00351589">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3.1.3. копії документів</w:t>
            </w:r>
            <w:r w:rsidR="0097372E">
              <w:rPr>
                <w:rFonts w:ascii="Times New Roman" w:eastAsia="Times New Roman" w:hAnsi="Times New Roman" w:cs="Times New Roman"/>
                <w:color w:val="000000"/>
                <w:sz w:val="20"/>
                <w:szCs w:val="20"/>
              </w:rPr>
              <w:t xml:space="preserve"> на підтвердження виконанн</w:t>
            </w:r>
            <w:r>
              <w:rPr>
                <w:rFonts w:ascii="Times New Roman" w:eastAsia="Times New Roman" w:hAnsi="Times New Roman" w:cs="Times New Roman"/>
                <w:color w:val="000000"/>
                <w:sz w:val="20"/>
                <w:szCs w:val="20"/>
              </w:rPr>
              <w:t xml:space="preserve">я аналогічного договору </w:t>
            </w:r>
            <w:r w:rsidR="0097372E">
              <w:rPr>
                <w:rFonts w:ascii="Times New Roman" w:eastAsia="Times New Roman" w:hAnsi="Times New Roman" w:cs="Times New Roman"/>
                <w:color w:val="000000" w:themeColor="text1"/>
                <w:sz w:val="20"/>
                <w:szCs w:val="20"/>
              </w:rPr>
              <w:t>або </w:t>
            </w:r>
            <w:r w:rsidR="0097372E">
              <w:rPr>
                <w:rFonts w:ascii="Times New Roman" w:eastAsia="Times New Roman" w:hAnsi="Times New Roman" w:cs="Times New Roman"/>
                <w:color w:val="000000"/>
                <w:sz w:val="20"/>
                <w:szCs w:val="20"/>
                <w:highlight w:val="white"/>
              </w:rPr>
              <w:t>лист</w:t>
            </w:r>
            <w:r w:rsidR="0097372E">
              <w:rPr>
                <w:rFonts w:ascii="Times New Roman" w:eastAsia="Times New Roman" w:hAnsi="Times New Roman" w:cs="Times New Roman"/>
                <w:sz w:val="20"/>
                <w:szCs w:val="20"/>
                <w:highlight w:val="white"/>
              </w:rPr>
              <w:t>-</w:t>
            </w:r>
            <w:r w:rsidR="0097372E">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0097372E">
              <w:rPr>
                <w:rFonts w:ascii="Times New Roman" w:eastAsia="Times New Roman" w:hAnsi="Times New Roman" w:cs="Times New Roman"/>
                <w:sz w:val="20"/>
                <w:szCs w:val="20"/>
                <w:highlight w:val="white"/>
              </w:rPr>
              <w:t>им</w:t>
            </w:r>
            <w:r w:rsidR="0097372E">
              <w:rPr>
                <w:rFonts w:ascii="Times New Roman" w:eastAsia="Times New Roman" w:hAnsi="Times New Roman" w:cs="Times New Roman"/>
                <w:color w:val="000000"/>
                <w:sz w:val="20"/>
                <w:szCs w:val="20"/>
                <w:highlight w:val="white"/>
              </w:rPr>
              <w:t xml:space="preserve"> договор</w:t>
            </w:r>
            <w:r w:rsidR="0097372E">
              <w:rPr>
                <w:rFonts w:ascii="Times New Roman" w:eastAsia="Times New Roman" w:hAnsi="Times New Roman" w:cs="Times New Roman"/>
                <w:sz w:val="20"/>
                <w:szCs w:val="20"/>
                <w:highlight w:val="white"/>
              </w:rPr>
              <w:t>ом</w:t>
            </w:r>
            <w:r w:rsidR="0097372E">
              <w:rPr>
                <w:rFonts w:ascii="Times New Roman" w:eastAsia="Times New Roman" w:hAnsi="Times New Roman" w:cs="Times New Roman"/>
                <w:color w:val="000000"/>
                <w:sz w:val="20"/>
                <w:szCs w:val="20"/>
                <w:highlight w:val="white"/>
              </w:rPr>
              <w:t xml:space="preserve">, який зазначено </w:t>
            </w:r>
            <w:r w:rsidR="0097372E">
              <w:rPr>
                <w:rFonts w:ascii="Times New Roman" w:eastAsia="Times New Roman" w:hAnsi="Times New Roman" w:cs="Times New Roman"/>
                <w:sz w:val="20"/>
                <w:szCs w:val="20"/>
                <w:highlight w:val="white"/>
              </w:rPr>
              <w:t>в</w:t>
            </w:r>
            <w:r w:rsidR="0097372E">
              <w:rPr>
                <w:rFonts w:ascii="Times New Roman" w:eastAsia="Times New Roman" w:hAnsi="Times New Roman" w:cs="Times New Roman"/>
                <w:color w:val="000000"/>
                <w:sz w:val="20"/>
                <w:szCs w:val="20"/>
                <w:highlight w:val="white"/>
              </w:rPr>
              <w:t xml:space="preserve"> довідці та надано у складі тендерної пр</w:t>
            </w:r>
            <w:r w:rsidR="0097372E">
              <w:rPr>
                <w:rFonts w:ascii="Times New Roman" w:eastAsia="Times New Roman" w:hAnsi="Times New Roman" w:cs="Times New Roman"/>
                <w:color w:val="000000"/>
                <w:sz w:val="20"/>
                <w:szCs w:val="20"/>
              </w:rPr>
              <w:t>опозиції</w:t>
            </w:r>
            <w:r>
              <w:rPr>
                <w:rFonts w:ascii="Times New Roman" w:eastAsia="Times New Roman" w:hAnsi="Times New Roman" w:cs="Times New Roman"/>
                <w:color w:val="000000"/>
                <w:sz w:val="20"/>
                <w:szCs w:val="20"/>
              </w:rPr>
              <w:t>.</w:t>
            </w:r>
          </w:p>
          <w:p w14:paraId="376859A1" w14:textId="77777777" w:rsidR="0097372E" w:rsidRDefault="0097372E">
            <w:pPr>
              <w:spacing w:after="0" w:line="240" w:lineRule="auto"/>
              <w:jc w:val="both"/>
              <w:rPr>
                <w:rFonts w:ascii="Times New Roman" w:eastAsia="Times New Roman" w:hAnsi="Times New Roman" w:cs="Times New Roman"/>
                <w:sz w:val="20"/>
                <w:szCs w:val="20"/>
              </w:rPr>
            </w:pPr>
          </w:p>
        </w:tc>
      </w:tr>
    </w:tbl>
    <w:p w14:paraId="62B22471" w14:textId="77777777" w:rsidR="0097372E" w:rsidRDefault="0097372E" w:rsidP="0097372E">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2CE6B4"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09B778F"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467F91"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698B69D" w14:textId="77777777" w:rsidR="0097372E" w:rsidRDefault="0097372E" w:rsidP="0097372E">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BA2962D"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6820D3"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0C02EBF"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CE250A" w14:textId="77777777" w:rsidR="0097372E" w:rsidRDefault="0097372E" w:rsidP="0097372E">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0A6FA756" w14:textId="77777777" w:rsidR="0097372E" w:rsidRDefault="0097372E" w:rsidP="0097372E">
      <w:pPr>
        <w:spacing w:after="0" w:line="240" w:lineRule="auto"/>
        <w:rPr>
          <w:rFonts w:ascii="Times New Roman" w:eastAsia="Times New Roman" w:hAnsi="Times New Roman" w:cs="Times New Roman"/>
          <w:b/>
          <w:sz w:val="20"/>
          <w:szCs w:val="20"/>
          <w:highlight w:val="yellow"/>
        </w:rPr>
      </w:pPr>
    </w:p>
    <w:p w14:paraId="78733248" w14:textId="77777777" w:rsidR="0097372E" w:rsidRDefault="0097372E" w:rsidP="00973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372E" w14:paraId="51ABA399" w14:textId="77777777" w:rsidTr="009737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CDC27"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6376C8D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BA7F"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3738FC6"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7F84"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21EA7163" w14:textId="77777777" w:rsidTr="009737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0AB6"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7B1B3"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8E1B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F4F6"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41C06D65" w14:textId="77777777" w:rsidTr="009737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ABB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499FF"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34918B"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164939D7" w14:textId="77777777" w:rsidTr="009737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184C0"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E710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103B525" w14:textId="77777777" w:rsidR="0097372E" w:rsidRDefault="0097372E">
            <w:pPr>
              <w:spacing w:after="0"/>
              <w:rPr>
                <w:rFonts w:ascii="Times New Roman" w:eastAsia="Times New Roman" w:hAnsi="Times New Roman" w:cs="Times New Roman"/>
                <w:sz w:val="20"/>
                <w:szCs w:val="20"/>
              </w:rPr>
            </w:pPr>
          </w:p>
        </w:tc>
      </w:tr>
      <w:tr w:rsidR="0097372E" w14:paraId="54637C3E" w14:textId="77777777" w:rsidTr="009737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A814"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8B8D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5A8FFE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F1AC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7A22D98" w14:textId="77777777" w:rsidR="0097372E" w:rsidRDefault="0097372E" w:rsidP="0097372E">
      <w:pPr>
        <w:spacing w:after="0" w:line="240" w:lineRule="auto"/>
        <w:rPr>
          <w:rFonts w:ascii="Times New Roman" w:eastAsia="Times New Roman" w:hAnsi="Times New Roman" w:cs="Times New Roman"/>
          <w:b/>
          <w:color w:val="000000"/>
          <w:sz w:val="20"/>
          <w:szCs w:val="20"/>
        </w:rPr>
      </w:pPr>
    </w:p>
    <w:p w14:paraId="73BBD63D" w14:textId="77777777" w:rsidR="0097372E" w:rsidRDefault="0097372E" w:rsidP="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372E" w14:paraId="1DF3ADAA" w14:textId="77777777" w:rsidTr="009737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E0F1"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70C03DE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14F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F755BB8"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4B5B"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766C28B5" w14:textId="77777777" w:rsidTr="009737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A10C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4B3C"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A1092"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A675D"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66B6EF35" w14:textId="77777777" w:rsidTr="009737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A45C"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39F6"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E4525C"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C384B8C"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2442EB92" w14:textId="77777777" w:rsidTr="009737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C1A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D6F4"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7FE98"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B5EF0A7" w14:textId="77777777" w:rsidR="0097372E" w:rsidRDefault="0097372E">
            <w:pPr>
              <w:spacing w:after="0"/>
              <w:rPr>
                <w:rFonts w:ascii="Times New Roman" w:eastAsia="Times New Roman" w:hAnsi="Times New Roman" w:cs="Times New Roman"/>
                <w:sz w:val="20"/>
                <w:szCs w:val="20"/>
              </w:rPr>
            </w:pPr>
          </w:p>
        </w:tc>
      </w:tr>
      <w:tr w:rsidR="0097372E" w14:paraId="7CFEDC7A" w14:textId="77777777" w:rsidTr="009737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FCA8"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90D9"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991AA2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55E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5D38DE" w14:textId="77777777" w:rsidR="0097372E" w:rsidRDefault="0097372E" w:rsidP="0097372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5B82EE"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0BA959D"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10A87DF"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p w14:paraId="2C0B35B4"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97372E" w14:paraId="4451D532" w14:textId="77777777" w:rsidTr="0097372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FD00" w14:textId="77777777" w:rsidR="0097372E" w:rsidRDefault="0097372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97372E" w14:paraId="772621FE" w14:textId="77777777" w:rsidTr="0097372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C418" w14:textId="77777777" w:rsidR="0097372E" w:rsidRDefault="0097372E">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99E4" w14:textId="77777777" w:rsidR="0097372E" w:rsidRDefault="0097372E">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5F3BC37A" w14:textId="77777777" w:rsidR="0097372E" w:rsidRDefault="0097372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14:paraId="12C6FEB5" w14:textId="77777777" w:rsidR="0097372E" w:rsidRDefault="0097372E">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97372E" w14:paraId="7F265958" w14:textId="77777777" w:rsidTr="0097372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30EFA" w14:textId="77777777" w:rsidR="0097372E" w:rsidRDefault="0097372E">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507B" w14:textId="77777777" w:rsidR="0097372E" w:rsidRDefault="0097372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7372E" w14:paraId="29D1F865"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7CED"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88F5" w14:textId="77777777" w:rsidR="0097372E" w:rsidRDefault="0097372E">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підготовці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97372E" w14:paraId="57EDF6AD"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08EA"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EB1F" w14:textId="77777777" w:rsidR="0097372E" w:rsidRDefault="0097372E">
            <w:pPr>
              <w:spacing w:after="0" w:line="240" w:lineRule="auto"/>
              <w:ind w:left="100" w:right="120" w:hanging="20"/>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14:paraId="5F1D32C6" w14:textId="77777777" w:rsidR="0097372E" w:rsidRDefault="0097372E" w:rsidP="0097372E">
      <w:pPr>
        <w:spacing w:after="0"/>
        <w:rPr>
          <w:rFonts w:ascii="Times New Roman" w:eastAsia="Times New Roman" w:hAnsi="Times New Roman" w:cs="Times New Roman"/>
          <w:sz w:val="24"/>
          <w:szCs w:val="24"/>
          <w:highlight w:val="white"/>
          <w:lang w:val="ru-RU"/>
        </w:rPr>
      </w:pPr>
    </w:p>
    <w:p w14:paraId="7E31AD4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2D20E8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F83593B" w14:textId="77777777" w:rsidR="0097372E" w:rsidRDefault="0097372E" w:rsidP="0097372E">
      <w:pPr>
        <w:widowControl w:val="0"/>
        <w:spacing w:after="0" w:line="240" w:lineRule="auto"/>
        <w:jc w:val="both"/>
        <w:rPr>
          <w:rFonts w:ascii="Times New Roman" w:eastAsia="Times New Roman" w:hAnsi="Times New Roman" w:cs="Times New Roman"/>
          <w:color w:val="000000"/>
          <w:sz w:val="20"/>
          <w:szCs w:val="20"/>
        </w:rPr>
      </w:pPr>
    </w:p>
    <w:p w14:paraId="4D031BA0" w14:textId="77777777" w:rsidR="0097372E" w:rsidRDefault="0097372E" w:rsidP="009737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B47B83F"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14:paraId="59740AAC"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53CA54C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4225C0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530A826"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36AF71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392CE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14:paraId="31FE9AD5"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14:paraId="0F86985A"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97372E" w14:paraId="556E3A25" w14:textId="77777777" w:rsidTr="0097372E">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664C"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4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D5454E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7497C28"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14:paraId="192CCF65" w14:textId="77777777" w:rsidR="0097372E" w:rsidRDefault="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1D0665"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B2D1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14:paraId="794D30AE"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215169F1"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4B59F73A"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97372E" w14:paraId="06CD9D06" w14:textId="77777777" w:rsidTr="0097372E">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0B981A0"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498" w:type="dxa"/>
            <w:tcBorders>
              <w:top w:val="nil"/>
              <w:left w:val="nil"/>
              <w:bottom w:val="single" w:sz="4" w:space="0" w:color="auto"/>
              <w:right w:val="single" w:sz="8" w:space="0" w:color="000000"/>
            </w:tcBorders>
            <w:tcMar>
              <w:top w:w="100" w:type="dxa"/>
              <w:left w:w="100" w:type="dxa"/>
              <w:bottom w:w="100" w:type="dxa"/>
              <w:right w:w="100" w:type="dxa"/>
            </w:tcMar>
            <w:hideMark/>
          </w:tcPr>
          <w:p w14:paraId="67AE84F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2" w:type="dxa"/>
            <w:tcBorders>
              <w:top w:val="nil"/>
              <w:left w:val="nil"/>
              <w:bottom w:val="single" w:sz="4" w:space="0" w:color="auto"/>
              <w:right w:val="single" w:sz="8" w:space="0" w:color="000000"/>
            </w:tcBorders>
            <w:tcMar>
              <w:top w:w="100" w:type="dxa"/>
              <w:left w:w="100" w:type="dxa"/>
              <w:bottom w:w="100" w:type="dxa"/>
              <w:right w:w="100" w:type="dxa"/>
            </w:tcMar>
            <w:hideMark/>
          </w:tcPr>
          <w:p w14:paraId="2D307152"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6" w:type="dxa"/>
            <w:tcBorders>
              <w:top w:val="nil"/>
              <w:left w:val="nil"/>
              <w:bottom w:val="single" w:sz="4" w:space="0" w:color="auto"/>
              <w:right w:val="single" w:sz="8" w:space="0" w:color="000000"/>
            </w:tcBorders>
            <w:tcMar>
              <w:top w:w="100" w:type="dxa"/>
              <w:left w:w="100" w:type="dxa"/>
              <w:bottom w:w="100" w:type="dxa"/>
              <w:right w:w="100" w:type="dxa"/>
            </w:tcMar>
            <w:hideMark/>
          </w:tcPr>
          <w:p w14:paraId="3678177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3" w:type="dxa"/>
            <w:tcBorders>
              <w:top w:val="nil"/>
              <w:left w:val="nil"/>
              <w:bottom w:val="single" w:sz="4" w:space="0" w:color="auto"/>
              <w:right w:val="single" w:sz="8" w:space="0" w:color="000000"/>
            </w:tcBorders>
            <w:tcMar>
              <w:top w:w="100" w:type="dxa"/>
              <w:left w:w="100" w:type="dxa"/>
              <w:bottom w:w="100" w:type="dxa"/>
              <w:right w:w="100" w:type="dxa"/>
            </w:tcMar>
            <w:hideMark/>
          </w:tcPr>
          <w:p w14:paraId="38288D9D"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97372E" w14:paraId="03D9E4E1" w14:textId="77777777" w:rsidTr="0097372E">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0DB29E"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D8A1D28" w14:textId="77777777" w:rsidR="0097372E" w:rsidRDefault="0097372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ru-RU" w:eastAsia="ru-RU"/>
              </w:rPr>
              <w:t>Свинина</w:t>
            </w:r>
          </w:p>
          <w:p w14:paraId="768D657D" w14:textId="77777777" w:rsidR="0097372E" w:rsidRDefault="0097372E">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Свинина пісна, I ґатунку (без кісток), м’ясна</w:t>
            </w:r>
            <w:r>
              <w:rPr>
                <w:rFonts w:ascii="Times New Roman" w:eastAsia="Times New Roman" w:hAnsi="Times New Roman" w:cs="Times New Roman"/>
                <w:sz w:val="20"/>
                <w:szCs w:val="20"/>
                <w:lang w:eastAsia="ru-RU"/>
              </w:rPr>
              <w:t xml:space="preserve"> тазостегнової частини туш</w:t>
            </w:r>
            <w:r>
              <w:rPr>
                <w:rFonts w:ascii="Times New Roman" w:eastAsia="Times New Roman" w:hAnsi="Times New Roman" w:cs="Times New Roman"/>
                <w:sz w:val="20"/>
                <w:szCs w:val="20"/>
                <w:lang w:val="ru-RU" w:eastAsia="ru-RU"/>
              </w:rPr>
              <w:t>, обрізна, охолоджена, великими шматками. Поверхня м’яса рівна, необвітрена, м'ясо зачищене від сухожиль і грубих поверхневих плівок. Наявність хрящів і дрібних кісток не допускається. Колі</w:t>
            </w:r>
            <w:proofErr w:type="gramStart"/>
            <w:r>
              <w:rPr>
                <w:rFonts w:ascii="Times New Roman" w:eastAsia="Times New Roman" w:hAnsi="Times New Roman" w:cs="Times New Roman"/>
                <w:sz w:val="20"/>
                <w:szCs w:val="20"/>
                <w:lang w:val="ru-RU" w:eastAsia="ru-RU"/>
              </w:rPr>
              <w:t>р</w:t>
            </w:r>
            <w:proofErr w:type="gramEnd"/>
            <w:r>
              <w:rPr>
                <w:rFonts w:ascii="Times New Roman" w:eastAsia="Times New Roman" w:hAnsi="Times New Roman" w:cs="Times New Roman"/>
                <w:sz w:val="20"/>
                <w:szCs w:val="20"/>
                <w:lang w:val="ru-RU" w:eastAsia="ru-RU"/>
              </w:rPr>
              <w:t xml:space="preserve"> і запах характерні для доброякісного м’яса, без сторонніх смаків і запахів.   М'ясо повинне бути розфасоване у тару виробника (постачальника) з використанням харчової плівки, що дозволить забезпечити збереження його споживчих властивостей і безпечність під час зберігання, транспортування та реалізації.  </w:t>
            </w:r>
          </w:p>
          <w:p w14:paraId="297B6413" w14:textId="77777777" w:rsidR="0097372E" w:rsidRDefault="0097372E">
            <w:pPr>
              <w:widowControl w:val="0"/>
              <w:spacing w:after="0" w:line="240" w:lineRule="auto"/>
              <w:rPr>
                <w:rFonts w:ascii="Times New Roman" w:eastAsia="Times New Roman" w:hAnsi="Times New Roman" w:cs="Times New Roman"/>
                <w:i/>
                <w:sz w:val="20"/>
                <w:szCs w:val="20"/>
                <w:lang w:val="ru-RU"/>
              </w:rPr>
            </w:pPr>
            <w:r>
              <w:rPr>
                <w:rFonts w:ascii="Times New Roman" w:eastAsia="Times New Roman" w:hAnsi="Times New Roman" w:cs="Times New Roman"/>
                <w:sz w:val="20"/>
                <w:szCs w:val="20"/>
                <w:lang w:val="ru-RU" w:eastAsia="ru-RU"/>
              </w:rPr>
              <w:t xml:space="preserve">Без ГМО. </w:t>
            </w:r>
            <w:proofErr w:type="gramStart"/>
            <w:r>
              <w:rPr>
                <w:rFonts w:ascii="Times New Roman" w:eastAsia="Times New Roman" w:hAnsi="Times New Roman" w:cs="Times New Roman"/>
                <w:sz w:val="20"/>
                <w:szCs w:val="20"/>
                <w:lang w:val="ru-RU" w:eastAsia="ru-RU"/>
              </w:rPr>
              <w:t>Фасована</w:t>
            </w:r>
            <w:proofErr w:type="gramEnd"/>
            <w:r>
              <w:rPr>
                <w:rFonts w:ascii="Times New Roman" w:eastAsia="Times New Roman" w:hAnsi="Times New Roman" w:cs="Times New Roman"/>
                <w:sz w:val="20"/>
                <w:szCs w:val="20"/>
                <w:lang w:val="ru-RU" w:eastAsia="ru-RU"/>
              </w:rPr>
              <w:t xml:space="preserve"> у</w:t>
            </w:r>
            <w:r>
              <w:rPr>
                <w:rFonts w:ascii="Times New Roman" w:eastAsia="Times New Roman" w:hAnsi="Times New Roman" w:cs="Times New Roman"/>
                <w:sz w:val="20"/>
                <w:szCs w:val="20"/>
                <w:lang w:eastAsia="ru-RU"/>
              </w:rPr>
              <w:t xml:space="preserve"> вакуумну </w:t>
            </w:r>
            <w:r>
              <w:rPr>
                <w:rFonts w:ascii="Times New Roman" w:eastAsia="Times New Roman" w:hAnsi="Times New Roman" w:cs="Times New Roman"/>
                <w:sz w:val="20"/>
                <w:szCs w:val="20"/>
                <w:lang w:val="ru-RU" w:eastAsia="ru-RU"/>
              </w:rPr>
              <w:t xml:space="preserve"> прозору упаковку, з маркуванням.</w:t>
            </w:r>
            <w:r>
              <w:rPr>
                <w:rFonts w:ascii="Times New Roman" w:eastAsia="Times New Roman" w:hAnsi="Times New Roman" w:cs="Times New Roman"/>
                <w:bCs/>
                <w:sz w:val="20"/>
                <w:szCs w:val="20"/>
                <w:lang w:val="ru-RU" w:eastAsia="ru-RU"/>
              </w:rPr>
              <w:t xml:space="preserve"> </w:t>
            </w:r>
            <w:r>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0"/>
                <w:szCs w:val="20"/>
                <w:lang w:val="ru-RU" w:eastAsia="ru-RU"/>
              </w:rPr>
              <w:t>Якість відповідно до ГОСТ, ДСТУ, ТУ та інших документів, що діють на території України.</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BAE386"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 xml:space="preserve"> </w:t>
            </w:r>
          </w:p>
          <w:p w14:paraId="05B7757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22B571" w14:textId="77777777" w:rsidR="0097372E" w:rsidRDefault="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1400 кг</w:t>
            </w:r>
          </w:p>
          <w:p w14:paraId="50978E03"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FDA63"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97372E" w14:paraId="1B6DF5F5" w14:textId="77777777" w:rsidTr="0097372E">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92E483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F94E322" w14:textId="77777777" w:rsidR="0097372E" w:rsidRDefault="0097372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ru-RU" w:eastAsia="ru-RU"/>
              </w:rPr>
              <w:t>Тушки курей</w:t>
            </w:r>
          </w:p>
          <w:p w14:paraId="6DDA6CEF" w14:textId="77777777" w:rsidR="0097372E" w:rsidRDefault="0097372E">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lang w:val="ru-RU" w:eastAsia="ru-RU"/>
              </w:rPr>
              <w:t>Свіжоохолоджені, не нижче І ґатунку.</w:t>
            </w:r>
            <w:r>
              <w:rPr>
                <w:rFonts w:ascii="Times New Roman" w:eastAsia="Times New Roman" w:hAnsi="Times New Roman" w:cs="Times New Roman"/>
                <w:sz w:val="20"/>
                <w:szCs w:val="20"/>
                <w:lang w:val="ru-RU"/>
              </w:rPr>
              <w:t xml:space="preserve"> Без ознак талості та механічних </w:t>
            </w:r>
            <w:r>
              <w:rPr>
                <w:rFonts w:ascii="Times New Roman" w:eastAsia="Times New Roman" w:hAnsi="Times New Roman" w:cs="Times New Roman"/>
                <w:sz w:val="20"/>
                <w:szCs w:val="20"/>
                <w:lang w:val="ru-RU"/>
              </w:rPr>
              <w:lastRenderedPageBreak/>
              <w:t xml:space="preserve">пошкоджень. </w:t>
            </w:r>
            <w:r>
              <w:rPr>
                <w:rFonts w:ascii="Times New Roman" w:eastAsia="Times New Roman" w:hAnsi="Times New Roman" w:cs="Times New Roman"/>
                <w:sz w:val="20"/>
                <w:szCs w:val="20"/>
                <w:lang w:val="ru-RU" w:eastAsia="ru-RU"/>
              </w:rPr>
              <w:t>Повинні бути очищеними, добре вимитими, не ушкодженими, цілими, без сторонніх запахів. Повинні бути добре обезкровленим, без плям, синців, поривів. Поверхня повинна бути сухою. Запах характерний для даного виду птиці.</w:t>
            </w:r>
            <w:r>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Cs/>
                <w:sz w:val="20"/>
                <w:szCs w:val="20"/>
                <w:lang w:eastAsia="ru-RU"/>
              </w:rPr>
              <w:t>Якість відповідно до ГОСТ, ДСТУ, ТУ та інших документів, що діють на території України.</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920801"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p>
          <w:p w14:paraId="5049FFE1"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1EA3BC5" w14:textId="77777777" w:rsidR="0097372E" w:rsidRDefault="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2940 кг</w:t>
            </w:r>
          </w:p>
          <w:p w14:paraId="5203D705"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85CCE9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97372E" w14:paraId="1EF0A734" w14:textId="77777777" w:rsidTr="0097372E">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4818AF3"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3</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8BC690A" w14:textId="77777777" w:rsidR="0097372E" w:rsidRDefault="0097372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ru-RU" w:eastAsia="ru-RU"/>
              </w:rPr>
              <w:t>Філе куряче</w:t>
            </w:r>
          </w:p>
          <w:p w14:paraId="4F167987" w14:textId="77777777" w:rsidR="0097372E" w:rsidRDefault="009737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Філе</w:t>
            </w:r>
            <w:r>
              <w:rPr>
                <w:rFonts w:ascii="Times New Roman" w:eastAsia="Times New Roman" w:hAnsi="Times New Roman" w:cs="Times New Roman"/>
                <w:sz w:val="20"/>
                <w:szCs w:val="20"/>
                <w:lang w:val="ru-RU" w:eastAsia="ru-RU"/>
              </w:rPr>
              <w:t xml:space="preserve"> ма</w:t>
            </w:r>
            <w:r>
              <w:rPr>
                <w:rFonts w:ascii="Times New Roman" w:eastAsia="Times New Roman" w:hAnsi="Times New Roman" w:cs="Times New Roman"/>
                <w:sz w:val="20"/>
                <w:szCs w:val="20"/>
                <w:lang w:eastAsia="ru-RU"/>
              </w:rPr>
              <w:t>є</w:t>
            </w:r>
            <w:r>
              <w:rPr>
                <w:rFonts w:ascii="Times New Roman" w:eastAsia="Times New Roman" w:hAnsi="Times New Roman" w:cs="Times New Roman"/>
                <w:sz w:val="20"/>
                <w:szCs w:val="20"/>
                <w:lang w:val="ru-RU" w:eastAsia="ru-RU"/>
              </w:rPr>
              <w:t xml:space="preserve"> бути ціл</w:t>
            </w:r>
            <w:r>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val="ru-RU" w:eastAsia="ru-RU"/>
              </w:rPr>
              <w:t>, без пошкоджень, бруду та кро</w:t>
            </w:r>
            <w:r>
              <w:rPr>
                <w:rFonts w:ascii="Times New Roman" w:eastAsia="Times New Roman" w:hAnsi="Times New Roman" w:cs="Times New Roman"/>
                <w:sz w:val="20"/>
                <w:szCs w:val="20"/>
                <w:lang w:eastAsia="ru-RU"/>
              </w:rPr>
              <w:t>ві</w:t>
            </w:r>
            <w:r>
              <w:rPr>
                <w:rFonts w:ascii="Times New Roman" w:eastAsia="Times New Roman" w:hAnsi="Times New Roman" w:cs="Times New Roman"/>
                <w:sz w:val="20"/>
                <w:szCs w:val="20"/>
                <w:lang w:val="ru-RU" w:eastAsia="ru-RU"/>
              </w:rPr>
              <w:t xml:space="preserve">. М’ясо куряче повинно бути добре обезкровлене, плям. М'ясо повинно мати характерний м’ясний запах, без стороннього затхлого та гнилісного запаху, </w:t>
            </w:r>
            <w:r>
              <w:rPr>
                <w:rFonts w:ascii="Times New Roman" w:eastAsia="Times New Roman" w:hAnsi="Times New Roman" w:cs="Times New Roman"/>
                <w:sz w:val="20"/>
                <w:szCs w:val="20"/>
                <w:u w:val="single"/>
                <w:lang w:val="ru-RU" w:eastAsia="ru-RU"/>
              </w:rPr>
              <w:t>без заморозки</w:t>
            </w:r>
            <w:r>
              <w:rPr>
                <w:rFonts w:ascii="Times New Roman" w:eastAsia="Times New Roman" w:hAnsi="Times New Roman" w:cs="Times New Roman"/>
                <w:sz w:val="20"/>
                <w:szCs w:val="20"/>
                <w:lang w:val="ru-RU" w:eastAsia="ru-RU"/>
              </w:rPr>
              <w:t xml:space="preserve">. </w:t>
            </w:r>
          </w:p>
          <w:p w14:paraId="2C41022A" w14:textId="77777777" w:rsidR="0097372E" w:rsidRDefault="0097372E">
            <w:pPr>
              <w:widowControl w:val="0"/>
              <w:spacing w:after="0" w:line="240" w:lineRule="auto"/>
              <w:jc w:val="both"/>
              <w:rPr>
                <w:rFonts w:ascii="Times New Roman" w:eastAsia="Times New Roman" w:hAnsi="Times New Roman" w:cs="Times New Roman"/>
                <w:b/>
                <w:bCs/>
                <w:sz w:val="24"/>
                <w:szCs w:val="24"/>
                <w:lang w:val="ru-RU"/>
              </w:rPr>
            </w:pPr>
            <w:r>
              <w:rPr>
                <w:rFonts w:ascii="Times New Roman" w:eastAsia="Times New Roman" w:hAnsi="Times New Roman" w:cs="Times New Roman"/>
                <w:sz w:val="20"/>
                <w:szCs w:val="20"/>
                <w:lang w:eastAsia="ru-RU"/>
              </w:rPr>
              <w:t xml:space="preserve">М'ясо повинне бути розфасоване у тару виробника (постачальника) з використанням харчової плівки, що дозволить забезпечити збереження його споживчих властивостей і безпечність під час зберігання, транспортування та реалізації.  </w:t>
            </w:r>
            <w:r>
              <w:rPr>
                <w:rFonts w:ascii="Times New Roman" w:eastAsia="Times New Roman" w:hAnsi="Times New Roman" w:cs="Times New Roman"/>
                <w:sz w:val="20"/>
                <w:szCs w:val="20"/>
                <w:lang w:val="ru-RU" w:eastAsia="ru-RU"/>
              </w:rPr>
              <w:t>Якість відповідно до ГОСТ, ДСТУ, ТУ та інших документів, що діють на території України.</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FCE218" w14:textId="77777777" w:rsidR="0097372E" w:rsidRDefault="0097372E">
            <w:pPr>
              <w:widowControl w:val="0"/>
              <w:spacing w:after="0" w:line="240" w:lineRule="auto"/>
              <w:jc w:val="both"/>
              <w:rPr>
                <w:rFonts w:ascii="Times New Roman" w:eastAsia="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7A8E96" w14:textId="77777777" w:rsidR="0097372E" w:rsidRDefault="0097372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3120 кг</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BCB820" w14:textId="77777777" w:rsidR="0097372E" w:rsidRDefault="0097372E">
            <w:pPr>
              <w:widowControl w:val="0"/>
              <w:spacing w:after="0" w:line="240" w:lineRule="auto"/>
              <w:jc w:val="both"/>
              <w:rPr>
                <w:rFonts w:ascii="Times New Roman" w:eastAsia="Times New Roman" w:hAnsi="Times New Roman" w:cs="Times New Roman"/>
                <w:i/>
                <w:sz w:val="24"/>
                <w:szCs w:val="24"/>
              </w:rPr>
            </w:pPr>
          </w:p>
        </w:tc>
      </w:tr>
    </w:tbl>
    <w:p w14:paraId="114B27DF"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54F69"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14:paraId="7D0427DD" w14:textId="77777777" w:rsidR="0097372E" w:rsidRDefault="0097372E" w:rsidP="0097372E">
      <w:pPr>
        <w:pStyle w:val="af4"/>
        <w:widowControl w:val="0"/>
        <w:numPr>
          <w:ilvl w:val="1"/>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14:paraId="237A3662" w14:textId="6EBF1324" w:rsidR="0097372E" w:rsidRPr="00351589"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 xml:space="preserve">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w:t>
      </w:r>
      <w:r w:rsidR="00264018" w:rsidRPr="00351589">
        <w:rPr>
          <w:rFonts w:ascii="Times New Roman" w:eastAsia="Times New Roman" w:hAnsi="Times New Roman" w:cs="Times New Roman"/>
          <w:sz w:val="24"/>
          <w:szCs w:val="24"/>
        </w:rPr>
        <w:t>у</w:t>
      </w:r>
      <w:r w:rsidRPr="00351589">
        <w:rPr>
          <w:rFonts w:ascii="Times New Roman" w:eastAsia="Times New Roman" w:hAnsi="Times New Roman" w:cs="Times New Roman"/>
          <w:sz w:val="24"/>
          <w:szCs w:val="24"/>
        </w:rPr>
        <w:t xml:space="preserve"> 202</w:t>
      </w:r>
      <w:r w:rsidR="00264018" w:rsidRPr="00351589">
        <w:rPr>
          <w:rFonts w:ascii="Times New Roman" w:eastAsia="Times New Roman" w:hAnsi="Times New Roman" w:cs="Times New Roman"/>
          <w:sz w:val="24"/>
          <w:szCs w:val="24"/>
        </w:rPr>
        <w:t>4</w:t>
      </w:r>
      <w:r w:rsidRPr="00351589">
        <w:rPr>
          <w:rFonts w:ascii="Times New Roman" w:eastAsia="Times New Roman" w:hAnsi="Times New Roman" w:cs="Times New Roman"/>
          <w:sz w:val="24"/>
          <w:szCs w:val="24"/>
        </w:rPr>
        <w:t xml:space="preserve"> року.</w:t>
      </w:r>
    </w:p>
    <w:p w14:paraId="22851310" w14:textId="77777777" w:rsidR="0097372E"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14:paraId="66390EE6" w14:textId="17D14C14" w:rsidR="0097372E" w:rsidRDefault="0097372E" w:rsidP="0097372E">
      <w:pPr>
        <w:pStyle w:val="af4"/>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r w:rsidR="00351589">
        <w:rPr>
          <w:rFonts w:ascii="Times New Roman" w:hAnsi="Times New Roman" w:cs="Times New Roman"/>
          <w:sz w:val="24"/>
          <w:szCs w:val="24"/>
          <w:shd w:val="clear" w:color="auto" w:fill="FFFFFF"/>
          <w:lang w:eastAsia="en-US"/>
        </w:rPr>
        <w:t>.</w:t>
      </w:r>
    </w:p>
    <w:p w14:paraId="35FD6F56" w14:textId="77777777" w:rsidR="0097372E" w:rsidRDefault="0097372E" w:rsidP="0097372E">
      <w:pPr>
        <w:pStyle w:val="af4"/>
        <w:numPr>
          <w:ilvl w:val="0"/>
          <w:numId w:val="4"/>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14:paraId="56A511A7" w14:textId="6EC31C2F"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w:t>
      </w:r>
      <w:r w:rsidRPr="00351589">
        <w:rPr>
          <w:rFonts w:ascii="Times New Roman" w:eastAsia="Times New Roman" w:hAnsi="Times New Roman"/>
          <w:color w:val="000000" w:themeColor="text1"/>
          <w:sz w:val="24"/>
          <w:szCs w:val="24"/>
          <w:lang w:bidi="hi-IN"/>
        </w:rPr>
        <w:lastRenderedPageBreak/>
        <w:t xml:space="preserve">дійсного на момент розкриття тендерних пропозицій сертифікату на систему управління охороною здоров’я та безпекою праці </w:t>
      </w:r>
      <w:r w:rsidR="00F103E9" w:rsidRPr="00351589">
        <w:rPr>
          <w:rFonts w:ascii="Times New Roman" w:eastAsia="Times New Roman" w:hAnsi="Times New Roman"/>
          <w:color w:val="000000" w:themeColor="text1"/>
          <w:sz w:val="24"/>
          <w:szCs w:val="24"/>
          <w:lang w:bidi="hi-IN"/>
        </w:rPr>
        <w:t>про те, що сферою сертифікації є зберігання, складування, транспортування та торгівля харчовими продуктами</w:t>
      </w:r>
      <w:r w:rsidRPr="00351589">
        <w:rPr>
          <w:rFonts w:ascii="Times New Roman" w:eastAsia="Times New Roman" w:hAnsi="Times New Roman"/>
          <w:color w:val="000000" w:themeColor="text1"/>
          <w:sz w:val="24"/>
          <w:szCs w:val="24"/>
          <w:lang w:bidi="hi-IN"/>
        </w:rPr>
        <w:t xml:space="preserve">, що відповідає вимогам </w:t>
      </w:r>
      <w:r w:rsidRPr="00351589">
        <w:rPr>
          <w:rFonts w:ascii="Times New Roman" w:eastAsia="Times New Roman" w:hAnsi="Times New Roman"/>
          <w:b/>
          <w:bCs/>
          <w:color w:val="000000" w:themeColor="text1"/>
          <w:sz w:val="24"/>
          <w:szCs w:val="24"/>
          <w:lang w:bidi="hi-IN"/>
        </w:rPr>
        <w:t xml:space="preserve">ДСТУ ISO 45001:2019 (ISO 45001:2018,IDT) «Системи управління охороною здоров’я та безпекою праці. </w:t>
      </w:r>
      <w:r w:rsidR="00821C4A" w:rsidRPr="00351589">
        <w:rPr>
          <w:rFonts w:ascii="Times New Roman" w:eastAsia="Times New Roman" w:hAnsi="Times New Roman"/>
          <w:b/>
          <w:bCs/>
          <w:color w:val="000000" w:themeColor="text1"/>
          <w:sz w:val="24"/>
          <w:szCs w:val="24"/>
          <w:lang w:bidi="hi-IN"/>
        </w:rPr>
        <w:t>Вимоги до будь-яких організацій в харчовому ланцюгу» ) виданий учасник</w:t>
      </w:r>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color w:val="000000" w:themeColor="text1"/>
          <w:sz w:val="24"/>
          <w:szCs w:val="24"/>
          <w:lang w:bidi="hi-IN"/>
        </w:rPr>
        <w:t xml:space="preserve"> та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15A32496" w14:textId="14A0509D"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7" w:name="_Hlk160031110"/>
      <w:r w:rsidRPr="00351589">
        <w:rPr>
          <w:rFonts w:ascii="Times New Roman" w:eastAsia="Times New Roman" w:hAnsi="Times New Roman"/>
          <w:b/>
          <w:bCs/>
          <w:color w:val="000000" w:themeColor="text1"/>
          <w:sz w:val="24"/>
          <w:szCs w:val="24"/>
          <w:lang w:bidi="hi-IN"/>
        </w:rPr>
        <w:t>)</w:t>
      </w:r>
      <w:r w:rsidR="00821C4A"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b/>
          <w:bCs/>
          <w:color w:val="000000" w:themeColor="text1"/>
          <w:sz w:val="24"/>
          <w:szCs w:val="24"/>
          <w:lang w:bidi="hi-IN"/>
        </w:rPr>
        <w:t xml:space="preserve">виданий </w:t>
      </w:r>
      <w:r w:rsidR="00821C4A" w:rsidRPr="00351589">
        <w:rPr>
          <w:rFonts w:ascii="Times New Roman" w:eastAsia="Times New Roman" w:hAnsi="Times New Roman"/>
          <w:b/>
          <w:bCs/>
          <w:color w:val="000000" w:themeColor="text1"/>
          <w:sz w:val="24"/>
          <w:szCs w:val="24"/>
          <w:lang w:bidi="hi-IN"/>
        </w:rPr>
        <w:t>учасник</w:t>
      </w:r>
      <w:bookmarkEnd w:id="7"/>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2EBF5E11" w14:textId="70FBF383"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ДСТУ ISO 9001:2018 (ISO 9001:2015. IDT) «Системи управління якістю.Вимоги»</w:t>
      </w:r>
      <w:r w:rsidR="00821C4A" w:rsidRPr="00821C4A">
        <w:rPr>
          <w:rFonts w:ascii="Times New Roman" w:eastAsia="Times New Roman" w:hAnsi="Times New Roman"/>
          <w:b/>
          <w:bCs/>
          <w:color w:val="00000A"/>
          <w:sz w:val="24"/>
          <w:szCs w:val="24"/>
          <w:lang w:bidi="hi-IN"/>
        </w:rPr>
        <w:t xml:space="preserve"> </w:t>
      </w:r>
      <w:r w:rsidR="00821C4A">
        <w:rPr>
          <w:rFonts w:ascii="Times New Roman" w:eastAsia="Times New Roman" w:hAnsi="Times New Roman"/>
          <w:b/>
          <w:bCs/>
          <w:color w:val="00000A"/>
          <w:sz w:val="24"/>
          <w:szCs w:val="24"/>
          <w:lang w:bidi="hi-IN"/>
        </w:rPr>
        <w:t xml:space="preserve">) </w:t>
      </w:r>
      <w:r w:rsidR="00351589" w:rsidRPr="00351589">
        <w:rPr>
          <w:rFonts w:ascii="Times New Roman" w:eastAsia="Times New Roman" w:hAnsi="Times New Roman"/>
          <w:b/>
          <w:bCs/>
          <w:color w:val="00000A"/>
          <w:sz w:val="24"/>
          <w:szCs w:val="24"/>
          <w:lang w:bidi="hi-IN"/>
        </w:rPr>
        <w:t xml:space="preserve">виданий </w:t>
      </w:r>
      <w:r w:rsidR="00821C4A" w:rsidRPr="00351589">
        <w:rPr>
          <w:rFonts w:ascii="Times New Roman" w:eastAsia="Times New Roman" w:hAnsi="Times New Roman"/>
          <w:b/>
          <w:bCs/>
          <w:color w:val="00000A"/>
          <w:sz w:val="24"/>
          <w:szCs w:val="24"/>
          <w:lang w:bidi="hi-IN"/>
        </w:rPr>
        <w:t>учасник</w:t>
      </w:r>
      <w:r w:rsidR="00351589" w:rsidRPr="00351589">
        <w:rPr>
          <w:rFonts w:ascii="Times New Roman" w:eastAsia="Times New Roman" w:hAnsi="Times New Roman"/>
          <w:b/>
          <w:bCs/>
          <w:color w:val="00000A"/>
          <w:sz w:val="24"/>
          <w:szCs w:val="24"/>
          <w:lang w:bidi="hi-IN"/>
        </w:rPr>
        <w:t>у</w:t>
      </w:r>
      <w:r w:rsidR="00821C4A" w:rsidRPr="00351589">
        <w:rPr>
          <w:rFonts w:ascii="Times New Roman" w:eastAsia="Times New Roman" w:hAnsi="Times New Roman"/>
          <w:b/>
          <w:bCs/>
          <w:color w:val="00000A"/>
          <w:sz w:val="24"/>
          <w:szCs w:val="24"/>
          <w:lang w:bidi="hi-IN"/>
        </w:rPr>
        <w:t xml:space="preserve"> </w:t>
      </w:r>
      <w:r w:rsidR="00347DE1"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14:paraId="21032212" w14:textId="3D37E8C9" w:rsidR="00B85D21" w:rsidRPr="00351589" w:rsidRDefault="00B85D21"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14:paraId="7E888844"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Pr>
          <w:rFonts w:ascii="Times New Roman" w:eastAsia="Times New Roman" w:hAnsi="Times New Roman" w:cs="Times New Roman"/>
          <w:b/>
          <w:i/>
          <w:sz w:val="24"/>
          <w:szCs w:val="24"/>
        </w:rPr>
        <w:t xml:space="preserve"> </w:t>
      </w:r>
    </w:p>
    <w:p w14:paraId="56E08D97"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14:paraId="7FA4C17A" w14:textId="6A476875"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1589">
        <w:rPr>
          <w:rFonts w:ascii="Times New Roman" w:eastAsia="Times New Roman" w:hAnsi="Times New Roman" w:cs="Times New Roman"/>
          <w:sz w:val="24"/>
          <w:szCs w:val="24"/>
        </w:rPr>
        <w:t>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w:t>
      </w:r>
    </w:p>
    <w:p w14:paraId="6E9F6D8A" w14:textId="42DF2CAB"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 з рестром декларацій,що свідчить про подання даної декларації</w:t>
      </w:r>
      <w:r w:rsidR="00264018" w:rsidRPr="00351589">
        <w:rPr>
          <w:rFonts w:ascii="Times New Roman" w:eastAsia="Times New Roman" w:hAnsi="Times New Roman" w:cs="Times New Roman"/>
          <w:sz w:val="24"/>
          <w:szCs w:val="24"/>
        </w:rPr>
        <w:t xml:space="preserve"> у 2024 році</w:t>
      </w:r>
    </w:p>
    <w:p w14:paraId="753A29A9"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p>
    <w:p w14:paraId="535D3333"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Pr>
          <w:rFonts w:ascii="Times New Roman" w:hAnsi="Times New Roman" w:cs="Times New Roman"/>
          <w:i/>
          <w:sz w:val="24"/>
          <w:szCs w:val="24"/>
          <w:shd w:val="clear" w:color="auto" w:fill="FFFFFF"/>
          <w:lang w:eastAsia="en-US"/>
        </w:rPr>
        <w:t xml:space="preserve">сканованої копії з оригіналу листа авторизації від виробника (у разі якщо товар не виробляється на території України, листом авторизації від </w:t>
      </w:r>
      <w:r>
        <w:rPr>
          <w:rFonts w:ascii="Times New Roman" w:hAnsi="Times New Roman" w:cs="Times New Roman"/>
          <w:i/>
          <w:sz w:val="24"/>
          <w:szCs w:val="24"/>
          <w:shd w:val="clear" w:color="auto" w:fill="FFFFFF"/>
          <w:lang w:eastAsia="en-US"/>
        </w:rPr>
        <w:lastRenderedPageBreak/>
        <w:t>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14:paraId="398220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ru-RU"/>
        </w:rPr>
        <w:t>Загальні вимоги до якості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14:paraId="502B09B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21B9E2" w14:textId="501F485B"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w:t>
      </w:r>
      <w:r w:rsidR="0035158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p w14:paraId="0EE4D03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14:paraId="7B15BCC0"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14:paraId="0BF716FA"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213926C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28923FD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0DA906B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2874210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A23F5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14:paraId="2088D9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3D02B49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2BD66D2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5C274843"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14:paraId="6A0C2846"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6F7201E2"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14:paraId="03BF2FFE"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14:paraId="58A0E489"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14:paraId="2F6C3DA1"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66850581"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14:paraId="183112A9"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14:paraId="2DA5AD5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14:paraId="47F7DB8A"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AAE1D6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14:paraId="54AB550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14:paraId="4BE8FDF9" w14:textId="77777777" w:rsidR="0097372E" w:rsidRDefault="0097372E" w:rsidP="0097372E">
      <w:pPr>
        <w:widowControl w:val="0"/>
        <w:spacing w:after="0" w:line="240" w:lineRule="auto"/>
        <w:jc w:val="both"/>
        <w:rPr>
          <w:rFonts w:ascii="Times New Roman" w:eastAsia="Times New Roman" w:hAnsi="Times New Roman" w:cs="Times New Roman"/>
          <w:b/>
          <w:sz w:val="24"/>
          <w:szCs w:val="24"/>
          <w:lang w:val="ru-RU"/>
        </w:rPr>
      </w:pPr>
    </w:p>
    <w:p w14:paraId="446427E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15B98B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14:paraId="41FE8F7A" w14:textId="1FF24262" w:rsidR="0097372E" w:rsidRDefault="0097372E" w:rsidP="0097372E">
      <w:pPr>
        <w:shd w:val="clear" w:color="auto" w:fill="FFFFFF"/>
        <w:spacing w:after="0" w:line="240" w:lineRule="auto"/>
        <w:jc w:val="both"/>
        <w:textAlignment w:val="baseline"/>
        <w:rPr>
          <w:rFonts w:ascii="Times New Roman" w:hAnsi="Times New Roman"/>
          <w:b/>
          <w:bCs/>
          <w:color w:val="000000"/>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00944337" w:rsidRPr="00944337">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15110000-2 – М’ясо (свинина - ДК 021-2015 (CPV) 15113000-3, тушки курей - ДК 021-2015 (CPV) 15112130-6, філе куряче - ДК 021-2015 (CPV) 15112130-6)</w:t>
      </w:r>
      <w:r>
        <w:rPr>
          <w:rFonts w:ascii="Times New Roman" w:eastAsia="Times New Roman" w:hAnsi="Times New Roman" w:cs="Times New Roman"/>
          <w:b/>
          <w:bCs/>
          <w:sz w:val="24"/>
          <w:szCs w:val="24"/>
        </w:rPr>
        <w:t>.</w:t>
      </w:r>
    </w:p>
    <w:p w14:paraId="5DD323D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Кількість товарів – </w:t>
      </w:r>
      <w:r>
        <w:rPr>
          <w:rFonts w:ascii="Times New Roman" w:eastAsia="Times New Roman" w:hAnsi="Times New Roman" w:cs="Times New Roman"/>
          <w:b/>
          <w:sz w:val="24"/>
          <w:szCs w:val="24"/>
        </w:rPr>
        <w:t xml:space="preserve">згідно </w:t>
      </w:r>
      <w:proofErr w:type="gramStart"/>
      <w:r>
        <w:rPr>
          <w:rFonts w:ascii="Times New Roman" w:eastAsia="Times New Roman" w:hAnsi="Times New Roman" w:cs="Times New Roman"/>
          <w:b/>
          <w:sz w:val="24"/>
          <w:szCs w:val="24"/>
        </w:rPr>
        <w:t>техн</w:t>
      </w:r>
      <w:proofErr w:type="gramEnd"/>
      <w:r>
        <w:rPr>
          <w:rFonts w:ascii="Times New Roman" w:eastAsia="Times New Roman" w:hAnsi="Times New Roman" w:cs="Times New Roman"/>
          <w:b/>
          <w:sz w:val="24"/>
          <w:szCs w:val="24"/>
        </w:rPr>
        <w:t>ічної специфікації (Додаток 1  до Договору).</w:t>
      </w:r>
    </w:p>
    <w:p w14:paraId="0812FE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5BAF81A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14:paraId="770D1524"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4BF0F87E"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7679E1B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14:paraId="3CD46765"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14:paraId="3B8F5FBD"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14:paraId="0658AB8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2B93A0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14:paraId="66F3EC2B" w14:textId="77777777" w:rsidR="0097372E" w:rsidRDefault="0097372E" w:rsidP="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14:paraId="36B80E5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14:paraId="4E0B7F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Зобов’язання на суму Договору виникають у випадку наявності відповідних бюджетних асигнувань.</w:t>
      </w:r>
    </w:p>
    <w:p w14:paraId="2A2C947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86390"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14:paraId="732045F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технічній специфікації, що додається до Договору про закупівлю і є його невід'ємною частиною.</w:t>
      </w:r>
    </w:p>
    <w:p w14:paraId="382990A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днів.</w:t>
      </w:r>
    </w:p>
    <w:p w14:paraId="2D9EB1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3BFE18C1"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086ED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14:paraId="44902570"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14:paraId="68F9078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14:paraId="34A3086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14:paraId="6D865E5D" w14:textId="77777777" w:rsidR="0097372E" w:rsidRDefault="0097372E" w:rsidP="0097372E">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14:paraId="56DEF4CB" w14:textId="77777777" w:rsidR="0097372E" w:rsidRDefault="0097372E" w:rsidP="0097372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14:paraId="4261F5E0" w14:textId="77777777" w:rsidR="0097372E" w:rsidRDefault="0097372E" w:rsidP="0097372E">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43225BF4"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2E87B8"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4C195C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14:paraId="040954A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14:paraId="7502398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7165D1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6A18682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4561528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41A8BAA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10D3A7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14:paraId="738897A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5A2E08B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3311BC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4A695CC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 xml:space="preserve">не менше 80% загального терміну </w:t>
      </w:r>
      <w:r>
        <w:rPr>
          <w:rFonts w:ascii="Times New Roman" w:eastAsia="Times New Roman" w:hAnsi="Times New Roman" w:cs="Times New Roman"/>
          <w:b/>
          <w:sz w:val="24"/>
          <w:szCs w:val="24"/>
        </w:rPr>
        <w:lastRenderedPageBreak/>
        <w:t>зберігання.</w:t>
      </w:r>
    </w:p>
    <w:p w14:paraId="47190E64"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2749F2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свій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14:paraId="5AF5D3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14:paraId="23CA89E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14:paraId="2C19527D"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14:paraId="627E4A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14:paraId="22026F7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14:paraId="527BD631"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14:paraId="73D4F0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14:paraId="4B0B777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14:paraId="11F343F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83EB0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14:paraId="2BDBFBCE"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14:paraId="3157D14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14:paraId="1104303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14:paraId="68B97F6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14:paraId="2F593D5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14:paraId="0D93829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14:paraId="6F065723"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14:paraId="6149C9F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14:paraId="66D599B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14:paraId="2B77CA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14:paraId="2D9D2DC9"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сторонни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14:paraId="01F233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установлені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14:paraId="43A94B3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14:paraId="50B7E51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14:paraId="39DD496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14:paraId="7954B8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14:paraId="4233EB3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CD2764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10FE2C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14:paraId="297B98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0587E76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9C63EB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5604DC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A9431E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524AE1E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DCA22B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EA32D6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0511E7F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AFBD77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9.5. Наявність і тривалість форс-мажорних обставин підтверджується листом Торгово-промислової палати України. </w:t>
      </w:r>
    </w:p>
    <w:p w14:paraId="4A853AE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7430BD5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14:paraId="0CDD09F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16D38A9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4C7992F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F08A1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391E9D3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683259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14:paraId="504527E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0818CF4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AD4315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975443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22C811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7060F66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2DA18C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14:paraId="13F53CDF"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14:paraId="422D01C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53AA86DC"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14:paraId="5004960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14:paraId="5AFBE7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14:paraId="0CDDAD8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14:paraId="2F561EA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 ІНШІ  УМОВИ</w:t>
      </w:r>
    </w:p>
    <w:p w14:paraId="15E1EE7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14:paraId="17870FB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8" w:name="o1000"/>
      <w:bookmarkEnd w:id="8"/>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14:paraId="3373E02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14:paraId="7F6B738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83D400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0CDB816"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2F1C0D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14:paraId="62442AC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C29610A"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6CD16AB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38F6EE94" w14:textId="77777777" w:rsidR="0097372E" w:rsidRDefault="0097372E" w:rsidP="0097372E">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14:paraId="742B7B5B" w14:textId="77777777" w:rsidR="0097372E" w:rsidRDefault="0097372E" w:rsidP="0097372E">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14:paraId="432838DC" w14:textId="77777777" w:rsidR="0097372E" w:rsidRDefault="0097372E" w:rsidP="0097372E">
      <w:pPr>
        <w:spacing w:after="0" w:line="240" w:lineRule="auto"/>
        <w:ind w:firstLine="567"/>
        <w:jc w:val="both"/>
        <w:rPr>
          <w:rFonts w:ascii="Times New Roman" w:eastAsia="Times New Roman" w:hAnsi="Times New Roman" w:cs="Times New Roman"/>
          <w:b/>
          <w:lang w:eastAsia="ru-RU"/>
        </w:rPr>
      </w:pPr>
    </w:p>
    <w:p w14:paraId="791A31DA" w14:textId="77777777" w:rsidR="0097372E" w:rsidRDefault="0097372E" w:rsidP="0097372E">
      <w:pPr>
        <w:spacing w:after="0" w:line="240" w:lineRule="auto"/>
        <w:ind w:firstLine="567"/>
        <w:jc w:val="center"/>
        <w:rPr>
          <w:rFonts w:ascii="Times New Roman" w:eastAsia="Times New Roman" w:hAnsi="Times New Roman" w:cs="Times New Roman"/>
          <w:b/>
          <w:lang w:val="ru-RU" w:eastAsia="ru-RU"/>
        </w:rPr>
      </w:pPr>
    </w:p>
    <w:p w14:paraId="7CF7618B" w14:textId="77777777" w:rsidR="0097372E" w:rsidRDefault="0097372E" w:rsidP="0097372E">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14:paraId="3965FA52" w14:textId="37254614" w:rsidR="0097372E" w:rsidRDefault="00944337" w:rsidP="0097372E">
      <w:pPr>
        <w:widowControl w:val="0"/>
        <w:spacing w:after="0" w:line="240" w:lineRule="auto"/>
        <w:jc w:val="center"/>
        <w:rPr>
          <w:rFonts w:ascii="Times New Roman" w:eastAsia="Arial" w:hAnsi="Times New Roman" w:cs="Times New Roman"/>
          <w:b/>
          <w:bCs/>
          <w:i/>
          <w:color w:val="000000"/>
          <w:lang w:eastAsia="ru-RU"/>
        </w:rPr>
      </w:pPr>
      <w:r>
        <w:rPr>
          <w:rFonts w:ascii="Times New Roman" w:eastAsia="Times New Roman" w:hAnsi="Times New Roman"/>
          <w:b/>
          <w:color w:val="000000"/>
          <w:sz w:val="28"/>
          <w:szCs w:val="28"/>
        </w:rPr>
        <w:t xml:space="preserve">Код національного класифікатора України ДК 021:2015 “Єдиний закупівельний словник” – 15110000-2 – М’ясо (свинина - ДК 021-2015 (CPV) 15113000-3, </w:t>
      </w:r>
      <w:r>
        <w:rPr>
          <w:rFonts w:ascii="Times New Roman" w:hAnsi="Times New Roman"/>
          <w:b/>
          <w:bCs/>
          <w:color w:val="000000"/>
          <w:sz w:val="28"/>
          <w:szCs w:val="28"/>
        </w:rPr>
        <w:t xml:space="preserve">тушки курей - </w:t>
      </w:r>
      <w:r>
        <w:rPr>
          <w:rFonts w:ascii="Times New Roman" w:eastAsia="Times New Roman" w:hAnsi="Times New Roman"/>
          <w:b/>
          <w:color w:val="000000"/>
          <w:sz w:val="28"/>
          <w:szCs w:val="28"/>
        </w:rPr>
        <w:t>ДК 021-2015 (CPV) 15112130-6</w:t>
      </w:r>
      <w:r>
        <w:rPr>
          <w:rFonts w:ascii="Times New Roman" w:hAnsi="Times New Roman"/>
          <w:b/>
          <w:bCs/>
          <w:color w:val="000000"/>
          <w:sz w:val="28"/>
          <w:szCs w:val="28"/>
        </w:rPr>
        <w:t xml:space="preserve">, філе куряче - </w:t>
      </w:r>
      <w:r>
        <w:rPr>
          <w:rFonts w:ascii="Times New Roman" w:eastAsia="Times New Roman" w:hAnsi="Times New Roman"/>
          <w:b/>
          <w:color w:val="000000"/>
          <w:sz w:val="28"/>
          <w:szCs w:val="28"/>
        </w:rPr>
        <w:t>ДК 021-2015 (CPV) 15112130-6)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7372E" w14:paraId="143D8A01" w14:textId="77777777" w:rsidTr="0097372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14:paraId="1840FA20"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0FC86B67"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6CD16BA"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54ED9BE9"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A831848"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14:paraId="52474571"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14:paraId="133FDE3D"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97372E" w14:paraId="4A5E1CF6"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17E3F28D" w14:textId="77777777" w:rsidR="0097372E" w:rsidRDefault="0097372E">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EDCC8D1"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1710B93E" w14:textId="77777777" w:rsidR="0097372E" w:rsidRDefault="009737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14:paraId="779F45A7"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34401879"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9F796BA" w14:textId="77777777" w:rsidR="0097372E" w:rsidRDefault="0097372E">
            <w:pPr>
              <w:spacing w:after="0" w:line="240" w:lineRule="auto"/>
              <w:jc w:val="center"/>
              <w:rPr>
                <w:rFonts w:ascii="Times New Roman" w:hAnsi="Times New Roman" w:cs="Times New Roman"/>
                <w:lang w:eastAsia="en-US"/>
              </w:rPr>
            </w:pPr>
          </w:p>
        </w:tc>
      </w:tr>
      <w:tr w:rsidR="0097372E" w14:paraId="683381F1"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789D679"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1DF58FEA"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709EC112"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561D12B"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64A21B63"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3A018AB8" w14:textId="77777777" w:rsidR="0097372E" w:rsidRDefault="0097372E">
            <w:pPr>
              <w:spacing w:after="0" w:line="240" w:lineRule="auto"/>
              <w:jc w:val="center"/>
              <w:rPr>
                <w:rFonts w:ascii="Times New Roman" w:hAnsi="Times New Roman" w:cs="Times New Roman"/>
                <w:lang w:eastAsia="en-US"/>
              </w:rPr>
            </w:pPr>
          </w:p>
        </w:tc>
      </w:tr>
      <w:tr w:rsidR="0097372E" w14:paraId="554A0DD5"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B0CF73C"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5B7575DD"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44377A8C"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F652FD8"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07E922ED"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5ED8D15" w14:textId="77777777" w:rsidR="0097372E" w:rsidRDefault="0097372E">
            <w:pPr>
              <w:spacing w:after="0" w:line="240" w:lineRule="auto"/>
              <w:jc w:val="center"/>
              <w:rPr>
                <w:rFonts w:ascii="Times New Roman" w:hAnsi="Times New Roman" w:cs="Times New Roman"/>
                <w:lang w:eastAsia="en-US"/>
              </w:rPr>
            </w:pPr>
          </w:p>
        </w:tc>
      </w:tr>
      <w:tr w:rsidR="0097372E" w14:paraId="3C177E13" w14:textId="77777777" w:rsidTr="0097372E">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2744E881" w14:textId="77777777" w:rsidR="0097372E" w:rsidRDefault="0097372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19986552" w14:textId="77777777" w:rsidR="0097372E" w:rsidRDefault="0097372E">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14:paraId="0673C712" w14:textId="77777777" w:rsidR="0097372E" w:rsidRDefault="0097372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14:paraId="22A8AD92" w14:textId="77777777" w:rsidR="0097372E" w:rsidRDefault="0097372E">
            <w:pPr>
              <w:spacing w:after="0" w:line="240" w:lineRule="auto"/>
              <w:jc w:val="center"/>
              <w:rPr>
                <w:rFonts w:ascii="Times New Roman" w:hAnsi="Times New Roman" w:cs="Times New Roman"/>
                <w:lang w:eastAsia="en-US"/>
              </w:rPr>
            </w:pPr>
          </w:p>
        </w:tc>
      </w:tr>
    </w:tbl>
    <w:p w14:paraId="6C4C760B" w14:textId="77777777" w:rsidR="0097372E" w:rsidRDefault="0097372E" w:rsidP="0097372E">
      <w:pPr>
        <w:widowControl w:val="0"/>
        <w:spacing w:after="0" w:line="240" w:lineRule="auto"/>
        <w:rPr>
          <w:rFonts w:ascii="Times New Roman" w:hAnsi="Times New Roman" w:cs="Times New Roman"/>
        </w:rPr>
      </w:pPr>
    </w:p>
    <w:p w14:paraId="4C59675A" w14:textId="77777777" w:rsidR="0097372E" w:rsidRDefault="0097372E" w:rsidP="0097372E">
      <w:pPr>
        <w:widowControl w:val="0"/>
        <w:spacing w:after="0" w:line="240" w:lineRule="auto"/>
        <w:rPr>
          <w:rFonts w:ascii="Times New Roman" w:hAnsi="Times New Roman" w:cs="Times New Roman"/>
        </w:rPr>
      </w:pPr>
    </w:p>
    <w:p w14:paraId="1CDEBC24" w14:textId="77777777" w:rsidR="0097372E" w:rsidRDefault="0097372E" w:rsidP="0097372E">
      <w:pPr>
        <w:spacing w:after="0" w:line="240" w:lineRule="auto"/>
        <w:ind w:firstLine="567"/>
        <w:jc w:val="both"/>
        <w:outlineLvl w:val="2"/>
        <w:rPr>
          <w:rFonts w:ascii="Times New Roman" w:eastAsia="Times New Roman" w:hAnsi="Times New Roman" w:cs="Times New Roman"/>
          <w:i/>
          <w:color w:val="000000"/>
          <w:lang w:eastAsia="ru-RU"/>
        </w:rPr>
      </w:pPr>
    </w:p>
    <w:tbl>
      <w:tblPr>
        <w:tblStyle w:val="13"/>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372E" w14:paraId="702E7CAD" w14:textId="77777777" w:rsidTr="0097372E">
        <w:tc>
          <w:tcPr>
            <w:tcW w:w="4928" w:type="dxa"/>
            <w:tcBorders>
              <w:top w:val="dotted" w:sz="4" w:space="0" w:color="auto"/>
              <w:left w:val="dotted" w:sz="4" w:space="0" w:color="auto"/>
              <w:bottom w:val="dotted" w:sz="4" w:space="0" w:color="auto"/>
              <w:right w:val="dotted" w:sz="4" w:space="0" w:color="auto"/>
            </w:tcBorders>
            <w:hideMark/>
          </w:tcPr>
          <w:p w14:paraId="27E47FC1" w14:textId="77777777" w:rsidR="0097372E" w:rsidRDefault="0097372E">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0405DE51" w14:textId="77777777" w:rsidR="0097372E" w:rsidRDefault="0097372E">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7372E" w14:paraId="123AC259" w14:textId="77777777" w:rsidTr="0097372E">
        <w:tc>
          <w:tcPr>
            <w:tcW w:w="4928" w:type="dxa"/>
            <w:tcBorders>
              <w:top w:val="dotted" w:sz="4" w:space="0" w:color="auto"/>
              <w:left w:val="dotted" w:sz="4" w:space="0" w:color="auto"/>
              <w:bottom w:val="dotted" w:sz="4" w:space="0" w:color="auto"/>
              <w:right w:val="dotted" w:sz="4" w:space="0" w:color="auto"/>
            </w:tcBorders>
          </w:tcPr>
          <w:p w14:paraId="4271DBFA" w14:textId="77777777" w:rsidR="0097372E" w:rsidRDefault="0097372E">
            <w:pPr>
              <w:spacing w:line="240" w:lineRule="auto"/>
              <w:jc w:val="both"/>
              <w:rPr>
                <w:rFonts w:ascii="Times New Roman" w:eastAsia="Times New Roman" w:hAnsi="Times New Roman"/>
                <w:b/>
                <w:lang w:eastAsia="ru-RU"/>
              </w:rPr>
            </w:pPr>
          </w:p>
          <w:p w14:paraId="2510EBA6" w14:textId="77777777" w:rsidR="0097372E" w:rsidRDefault="0097372E">
            <w:pPr>
              <w:spacing w:line="240" w:lineRule="auto"/>
              <w:jc w:val="both"/>
              <w:rPr>
                <w:rFonts w:ascii="Times New Roman" w:eastAsia="Times New Roman" w:hAnsi="Times New Roman"/>
                <w:b/>
                <w:lang w:eastAsia="ru-RU"/>
              </w:rPr>
            </w:pPr>
          </w:p>
          <w:p w14:paraId="152D1361" w14:textId="77777777" w:rsidR="0097372E" w:rsidRDefault="0097372E">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14:paraId="7D4D1C11" w14:textId="77777777" w:rsidR="0097372E" w:rsidRDefault="0097372E">
            <w:pPr>
              <w:spacing w:line="240" w:lineRule="auto"/>
              <w:jc w:val="both"/>
              <w:rPr>
                <w:rFonts w:ascii="Times New Roman" w:eastAsia="Times New Roman" w:hAnsi="Times New Roman"/>
                <w:b/>
                <w:lang w:eastAsia="ru-RU"/>
              </w:rPr>
            </w:pPr>
          </w:p>
        </w:tc>
      </w:tr>
    </w:tbl>
    <w:p w14:paraId="733E81B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2C49DB0" w14:textId="520B11AA" w:rsidR="002F4486" w:rsidRDefault="002F4486">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363CF9" w14:textId="77777777" w:rsidR="002F4486" w:rsidRPr="002F4486" w:rsidRDefault="002F4486" w:rsidP="002F4486">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14:paraId="09CDD987" w14:textId="77777777" w:rsidR="002F4486" w:rsidRPr="002F4486" w:rsidRDefault="002F4486" w:rsidP="002F4486">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14:paraId="391EC4F1"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rPr>
      </w:pPr>
    </w:p>
    <w:p w14:paraId="6C763487" w14:textId="77777777" w:rsidR="002F4486" w:rsidRPr="002F4486" w:rsidRDefault="002F4486" w:rsidP="002F4486">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14:paraId="0DCA1D3A" w14:textId="77777777" w:rsidR="002F4486" w:rsidRPr="002F4486" w:rsidRDefault="002F4486" w:rsidP="002F4486">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14:paraId="1DCFE9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p>
    <w:p w14:paraId="4C2C6D4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14:paraId="5F699A5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14:paraId="7153732A" w14:textId="77777777" w:rsidR="002F4486" w:rsidRPr="002F4486" w:rsidRDefault="002F4486" w:rsidP="002F4486">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____</w:t>
      </w:r>
      <w:proofErr w:type="gramStart"/>
      <w:r w:rsidRPr="002F4486">
        <w:rPr>
          <w:rFonts w:ascii="Times New Roman" w:eastAsia="Times New Roman" w:hAnsi="Times New Roman" w:cs="Times New Roman"/>
          <w:sz w:val="24"/>
          <w:szCs w:val="24"/>
          <w:lang w:val="ru-RU"/>
        </w:rPr>
        <w:t xml:space="preserve"> </w:t>
      </w:r>
      <w:r w:rsidRPr="002F4486">
        <w:rPr>
          <w:rFonts w:ascii="Times New Roman" w:eastAsia="Times New Roman" w:hAnsi="Times New Roman" w:cs="Times New Roman"/>
          <w:i/>
          <w:sz w:val="24"/>
          <w:szCs w:val="24"/>
          <w:lang w:val="ru-RU"/>
        </w:rPr>
        <w:t>;</w:t>
      </w:r>
      <w:proofErr w:type="gramEnd"/>
    </w:p>
    <w:p w14:paraId="297617D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14:paraId="327E014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14:paraId="2704D18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14:paraId="7EE6C064"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2F4486" w:rsidRPr="002F4486" w14:paraId="72948B85" w14:textId="77777777" w:rsidTr="00951F18">
        <w:tc>
          <w:tcPr>
            <w:tcW w:w="675" w:type="dxa"/>
            <w:tcBorders>
              <w:top w:val="single" w:sz="6" w:space="0" w:color="auto"/>
              <w:left w:val="single" w:sz="6" w:space="0" w:color="auto"/>
              <w:bottom w:val="single" w:sz="6" w:space="0" w:color="auto"/>
              <w:right w:val="single" w:sz="6" w:space="0" w:color="auto"/>
            </w:tcBorders>
          </w:tcPr>
          <w:p w14:paraId="756FBDCD"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14:paraId="5AD15CE1"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14:paraId="2CE503DF"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14:paraId="68D25D9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14:paraId="695CA8E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14:paraId="22C82086"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F4486" w:rsidRPr="002F4486" w14:paraId="693DABCB"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47B95B29"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CEB18D3"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2423D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F7F594D"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91BE4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FB1260F"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7DF46A34"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49B3677"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1854A85"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2188C19C"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167849B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896DBBF" w14:textId="77777777" w:rsidTr="00951F18">
        <w:trPr>
          <w:trHeight w:val="261"/>
        </w:trPr>
        <w:tc>
          <w:tcPr>
            <w:tcW w:w="675" w:type="dxa"/>
            <w:tcBorders>
              <w:top w:val="single" w:sz="6" w:space="0" w:color="auto"/>
              <w:left w:val="single" w:sz="6" w:space="0" w:color="auto"/>
              <w:bottom w:val="single" w:sz="6" w:space="0" w:color="auto"/>
              <w:right w:val="single" w:sz="6" w:space="0" w:color="auto"/>
            </w:tcBorders>
          </w:tcPr>
          <w:p w14:paraId="34DDD676"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3D7944C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04FA2C9"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3A24F0D5"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3637DFF0"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A0EA9C1" w14:textId="77777777" w:rsidTr="00951F18">
        <w:tc>
          <w:tcPr>
            <w:tcW w:w="675" w:type="dxa"/>
            <w:tcBorders>
              <w:top w:val="single" w:sz="6" w:space="0" w:color="auto"/>
              <w:left w:val="single" w:sz="6" w:space="0" w:color="auto"/>
              <w:bottom w:val="single" w:sz="6" w:space="0" w:color="auto"/>
              <w:right w:val="single" w:sz="6" w:space="0" w:color="auto"/>
            </w:tcBorders>
          </w:tcPr>
          <w:p w14:paraId="6A0DDDD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14:paraId="3104A3D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14:paraId="3F93167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8D2E79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14:paraId="1E0C7E4E" w14:textId="77777777" w:rsidR="002F4486" w:rsidRPr="002F4486" w:rsidRDefault="002F4486" w:rsidP="002F4486">
      <w:pPr>
        <w:widowControl w:val="0"/>
        <w:spacing w:after="0" w:line="240" w:lineRule="auto"/>
        <w:jc w:val="both"/>
        <w:rPr>
          <w:rFonts w:ascii="Times New Roman" w:eastAsia="Times New Roman" w:hAnsi="Times New Roman" w:cs="Times New Roman"/>
          <w:b/>
          <w:i/>
          <w:sz w:val="24"/>
          <w:szCs w:val="24"/>
        </w:rPr>
      </w:pPr>
    </w:p>
    <w:p w14:paraId="60562B02"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14:paraId="64BCE02A"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14:paraId="3CF08F70"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14:paraId="73BB8FE7" w14:textId="77777777" w:rsidR="002F4486" w:rsidRPr="002F4486" w:rsidRDefault="002F4486" w:rsidP="002F4486">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14:paraId="7D8C9769"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F4486" w:rsidRPr="002F4486" w14:paraId="209E2E6B" w14:textId="77777777" w:rsidTr="00951F18">
        <w:trPr>
          <w:trHeight w:val="23"/>
        </w:trPr>
        <w:tc>
          <w:tcPr>
            <w:tcW w:w="3718" w:type="dxa"/>
            <w:shd w:val="clear" w:color="auto" w:fill="auto"/>
          </w:tcPr>
          <w:p w14:paraId="1599992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4094FFFA"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14:paraId="2F2CE400"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14:paraId="6833A718"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r>
      <w:tr w:rsidR="002F4486" w:rsidRPr="002F4486" w14:paraId="1214D812" w14:textId="77777777" w:rsidTr="00951F18">
        <w:trPr>
          <w:trHeight w:val="256"/>
        </w:trPr>
        <w:tc>
          <w:tcPr>
            <w:tcW w:w="3718" w:type="dxa"/>
            <w:shd w:val="clear" w:color="auto" w:fill="auto"/>
          </w:tcPr>
          <w:p w14:paraId="6F678B85"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14:paraId="7260668C"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14:paraId="774B052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14:paraId="1412034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14:paraId="44B1E821" w14:textId="77777777" w:rsidR="002F4486" w:rsidRPr="002F4486" w:rsidRDefault="002F4486" w:rsidP="002F4486">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14:paraId="78231FAA"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14:paraId="7682A940"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14:paraId="0DA3FD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672FBED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0DB18CE3" w14:textId="77777777" w:rsidR="001E37EF" w:rsidRPr="002F4486" w:rsidRDefault="001E37EF">
      <w:pPr>
        <w:rPr>
          <w:rFonts w:ascii="Times New Roman" w:eastAsia="Times New Roman" w:hAnsi="Times New Roman" w:cs="Times New Roman"/>
          <w:b/>
          <w:sz w:val="24"/>
          <w:szCs w:val="24"/>
          <w:lang w:val="ru-RU"/>
        </w:rPr>
      </w:pPr>
    </w:p>
    <w:sectPr w:rsidR="001E37EF" w:rsidRPr="002F44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FEE"/>
    <w:multiLevelType w:val="multilevel"/>
    <w:tmpl w:val="9DFAF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1C"/>
    <w:rsid w:val="00191048"/>
    <w:rsid w:val="001E37EF"/>
    <w:rsid w:val="0022495B"/>
    <w:rsid w:val="00264018"/>
    <w:rsid w:val="002F4486"/>
    <w:rsid w:val="00347DE1"/>
    <w:rsid w:val="00351589"/>
    <w:rsid w:val="00680320"/>
    <w:rsid w:val="00821C4A"/>
    <w:rsid w:val="008A05E5"/>
    <w:rsid w:val="00944337"/>
    <w:rsid w:val="0097372E"/>
    <w:rsid w:val="00B0549A"/>
    <w:rsid w:val="00B85D21"/>
    <w:rsid w:val="00E1251C"/>
    <w:rsid w:val="00F10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744">
      <w:bodyDiv w:val="1"/>
      <w:marLeft w:val="0"/>
      <w:marRight w:val="0"/>
      <w:marTop w:val="0"/>
      <w:marBottom w:val="0"/>
      <w:divBdr>
        <w:top w:val="none" w:sz="0" w:space="0" w:color="auto"/>
        <w:left w:val="none" w:sz="0" w:space="0" w:color="auto"/>
        <w:bottom w:val="none" w:sz="0" w:space="0" w:color="auto"/>
        <w:right w:val="none" w:sz="0" w:space="0" w:color="auto"/>
      </w:divBdr>
    </w:div>
    <w:div w:id="185994696">
      <w:bodyDiv w:val="1"/>
      <w:marLeft w:val="0"/>
      <w:marRight w:val="0"/>
      <w:marTop w:val="0"/>
      <w:marBottom w:val="0"/>
      <w:divBdr>
        <w:top w:val="none" w:sz="0" w:space="0" w:color="auto"/>
        <w:left w:val="none" w:sz="0" w:space="0" w:color="auto"/>
        <w:bottom w:val="none" w:sz="0" w:space="0" w:color="auto"/>
        <w:right w:val="none" w:sz="0" w:space="0" w:color="auto"/>
      </w:divBdr>
    </w:div>
    <w:div w:id="1219828746">
      <w:bodyDiv w:val="1"/>
      <w:marLeft w:val="0"/>
      <w:marRight w:val="0"/>
      <w:marTop w:val="0"/>
      <w:marBottom w:val="0"/>
      <w:divBdr>
        <w:top w:val="none" w:sz="0" w:space="0" w:color="auto"/>
        <w:left w:val="none" w:sz="0" w:space="0" w:color="auto"/>
        <w:bottom w:val="none" w:sz="0" w:space="0" w:color="auto"/>
        <w:right w:val="none" w:sz="0" w:space="0" w:color="auto"/>
      </w:divBdr>
    </w:div>
    <w:div w:id="165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65545</Words>
  <Characters>37361</Characters>
  <Application>Microsoft Office Word</Application>
  <DocSecurity>0</DocSecurity>
  <Lines>311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Зеновія</dc:creator>
  <cp:lastModifiedBy>Користувач Windows</cp:lastModifiedBy>
  <cp:revision>2</cp:revision>
  <dcterms:created xsi:type="dcterms:W3CDTF">2024-02-29T16:12:00Z</dcterms:created>
  <dcterms:modified xsi:type="dcterms:W3CDTF">2024-02-29T16:12:00Z</dcterms:modified>
</cp:coreProperties>
</file>