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D5" w:rsidRDefault="00C879D5" w:rsidP="00B44F1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B44F1A" w:rsidTr="006A46B7">
        <w:trPr>
          <w:trHeight w:val="434"/>
        </w:trPr>
        <w:tc>
          <w:tcPr>
            <w:tcW w:w="4531" w:type="dxa"/>
          </w:tcPr>
          <w:p w:rsidR="00B44F1A" w:rsidRPr="00B44F1A" w:rsidRDefault="00B44F1A" w:rsidP="00B44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3</w:t>
            </w:r>
          </w:p>
        </w:tc>
        <w:tc>
          <w:tcPr>
            <w:tcW w:w="4814" w:type="dxa"/>
          </w:tcPr>
          <w:p w:rsidR="00B44F1A" w:rsidRPr="00B44F1A" w:rsidRDefault="00B44F1A" w:rsidP="00B44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Додаток 3 нова редакція</w:t>
            </w:r>
          </w:p>
        </w:tc>
      </w:tr>
      <w:tr w:rsidR="00B44F1A" w:rsidRPr="00B44F1A" w:rsidTr="006A46B7">
        <w:trPr>
          <w:trHeight w:val="5286"/>
        </w:trPr>
        <w:tc>
          <w:tcPr>
            <w:tcW w:w="4531" w:type="dxa"/>
          </w:tcPr>
          <w:p w:rsidR="00B44F1A" w:rsidRPr="00D12A9B" w:rsidRDefault="00B44F1A" w:rsidP="00B44F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 3.1.2 ….</w:t>
            </w:r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proofErr w:type="spellEnd"/>
            <w:proofErr w:type="gram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Pr="00D1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ифікованого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кошторисника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інженера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роектувальника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). До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кваліфікаційного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A9B">
              <w:rPr>
                <w:rFonts w:ascii="Times New Roman" w:hAnsi="Times New Roman" w:cs="Times New Roman"/>
                <w:sz w:val="24"/>
                <w:szCs w:val="24"/>
              </w:rPr>
              <w:t>сертифікату</w:t>
            </w:r>
            <w:proofErr w:type="spellEnd"/>
            <w:r w:rsidRPr="00D1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4F1A" w:rsidRPr="00B44F1A" w:rsidRDefault="00B44F1A" w:rsidP="00B44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14" w:type="dxa"/>
          </w:tcPr>
          <w:p w:rsidR="00B44F1A" w:rsidRPr="00B44F1A" w:rsidRDefault="00B44F1A" w:rsidP="00B44F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П.3.1.2….</w:t>
            </w:r>
            <w:r w:rsidRPr="00B44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B44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Враховуючи великий об'єм та наведені у документації строки виконання робіт, задля забезпечення максимально можливої якості робіт під час виконання договору за даною закупівлею, Замовник вважає за необхідне залучити до виконання робіт </w:t>
            </w:r>
            <w:r w:rsidRPr="0091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Учасника</w:t>
            </w:r>
            <w:r w:rsidRPr="00B44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що здатний забезпечити високий рівень якості виконання робіт, зокрема шляхом залучення підрядником</w:t>
            </w:r>
            <w:r w:rsidRPr="0091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44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сертифікованого спеціаліста </w:t>
            </w:r>
            <w:r w:rsidRPr="0091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B44F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кошторисника (інженера-проектувальника).</w:t>
            </w:r>
          </w:p>
          <w:p w:rsidR="00B44F1A" w:rsidRPr="00C51881" w:rsidRDefault="00B44F1A" w:rsidP="00B44F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15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 цьому Замовником передбачено лояльні умови підтвердження наявності вказаних осіб в учасника – наявність в штаті працівників (або за цивільно-правовими угодами , тощо) або залучення на цю частину робіт субпідрядників.</w:t>
            </w:r>
          </w:p>
          <w:p w:rsidR="00B44F1A" w:rsidRPr="00B44F1A" w:rsidRDefault="00B44F1A" w:rsidP="00B44F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F1A" w:rsidRPr="00B44F1A" w:rsidTr="006A46B7">
        <w:tc>
          <w:tcPr>
            <w:tcW w:w="4531" w:type="dxa"/>
          </w:tcPr>
          <w:p w:rsidR="00B44F1A" w:rsidRPr="006A46B7" w:rsidRDefault="006A46B7" w:rsidP="006A4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П.3.1.3 …</w:t>
            </w:r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вважати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аварійно-відновлювальних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ремонт)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багатоквартирного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житловог</w:t>
            </w:r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6A4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:rsidR="006A46B7" w:rsidRPr="006A46B7" w:rsidRDefault="006A46B7" w:rsidP="006A46B7">
            <w:pPr>
              <w:pStyle w:val="4"/>
              <w:shd w:val="clear" w:color="auto" w:fill="auto"/>
              <w:spacing w:before="0" w:after="0" w:line="274" w:lineRule="exact"/>
              <w:ind w:right="6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A46B7">
              <w:rPr>
                <w:sz w:val="24"/>
                <w:szCs w:val="24"/>
                <w:lang w:val="uk-UA"/>
              </w:rPr>
              <w:t xml:space="preserve">П.3.1.3… </w:t>
            </w:r>
            <w:r w:rsidRPr="006A46B7">
              <w:rPr>
                <w:sz w:val="24"/>
                <w:szCs w:val="24"/>
                <w:lang w:val="uk-UA"/>
              </w:rPr>
              <w:t xml:space="preserve">Під аналогічним договором вважати договір </w:t>
            </w:r>
            <w:r w:rsidRPr="006A46B7">
              <w:rPr>
                <w:sz w:val="24"/>
                <w:szCs w:val="24"/>
                <w:lang w:val="uk-UA" w:eastAsia="ru-RU"/>
              </w:rPr>
              <w:t xml:space="preserve"> з</w:t>
            </w:r>
            <w:r w:rsidRPr="006A46B7">
              <w:rPr>
                <w:sz w:val="24"/>
                <w:szCs w:val="24"/>
                <w:lang w:eastAsia="ru-RU"/>
              </w:rPr>
              <w:t> </w:t>
            </w:r>
            <w:r w:rsidRPr="006A46B7">
              <w:rPr>
                <w:sz w:val="24"/>
                <w:szCs w:val="24"/>
                <w:lang w:val="uk-UA" w:eastAsia="ru-RU"/>
              </w:rPr>
              <w:t>аварійно-відновлювальних робіт (капітальний ремонт)</w:t>
            </w:r>
            <w:r w:rsidRPr="006A46B7">
              <w:rPr>
                <w:sz w:val="24"/>
                <w:szCs w:val="24"/>
                <w:lang w:eastAsia="ru-RU"/>
              </w:rPr>
              <w:t> </w:t>
            </w:r>
            <w:r w:rsidRPr="006A46B7">
              <w:rPr>
                <w:sz w:val="24"/>
                <w:szCs w:val="24"/>
                <w:lang w:val="uk-UA" w:eastAsia="ru-RU"/>
              </w:rPr>
              <w:t>багатоповерхових</w:t>
            </w:r>
            <w:r w:rsidRPr="006A46B7">
              <w:rPr>
                <w:sz w:val="24"/>
                <w:szCs w:val="24"/>
                <w:lang w:eastAsia="ru-RU"/>
              </w:rPr>
              <w:t>   </w:t>
            </w:r>
            <w:r w:rsidRPr="006A46B7">
              <w:rPr>
                <w:sz w:val="24"/>
                <w:szCs w:val="24"/>
                <w:lang w:val="uk-UA" w:eastAsia="ru-RU"/>
              </w:rPr>
              <w:t>(житлових/нежитлових) будинків/будівель,  де</w:t>
            </w:r>
            <w:r w:rsidRPr="006A46B7">
              <w:rPr>
                <w:sz w:val="24"/>
                <w:szCs w:val="24"/>
                <w:lang w:eastAsia="ru-RU"/>
              </w:rPr>
              <w:t> </w:t>
            </w:r>
            <w:r w:rsidRPr="006A46B7">
              <w:rPr>
                <w:sz w:val="24"/>
                <w:szCs w:val="24"/>
                <w:lang w:val="uk-UA" w:eastAsia="ru-RU"/>
              </w:rPr>
              <w:t xml:space="preserve"> виконувалися аналогічні види робіт </w:t>
            </w:r>
            <w:r w:rsidRPr="006A46B7">
              <w:rPr>
                <w:color w:val="000000"/>
                <w:sz w:val="24"/>
                <w:szCs w:val="24"/>
                <w:lang w:val="uk-UA"/>
              </w:rPr>
              <w:t xml:space="preserve">на суму не </w:t>
            </w:r>
            <w:r w:rsidRPr="006A46B7">
              <w:rPr>
                <w:color w:val="000000"/>
                <w:sz w:val="24"/>
                <w:szCs w:val="24"/>
                <w:lang w:val="uk-UA" w:eastAsia="ru-RU"/>
              </w:rPr>
              <w:t>менше, зазначеної в даному тендері</w:t>
            </w:r>
          </w:p>
          <w:p w:rsidR="00B44F1A" w:rsidRPr="006A46B7" w:rsidRDefault="00B44F1A" w:rsidP="006A46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4F1A" w:rsidRPr="00B44F1A" w:rsidRDefault="00B44F1A" w:rsidP="00B44F1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44F1A" w:rsidRPr="00B4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A"/>
    <w:rsid w:val="006A46B7"/>
    <w:rsid w:val="00B44F1A"/>
    <w:rsid w:val="00C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E023-E3B0-4566-A96A-603ACC0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A46B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rsid w:val="006A46B7"/>
    <w:pPr>
      <w:widowControl w:val="0"/>
      <w:shd w:val="clear" w:color="auto" w:fill="FFFFFF"/>
      <w:spacing w:before="360" w:after="240" w:line="259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2024-01-25T06:42:00Z</dcterms:created>
  <dcterms:modified xsi:type="dcterms:W3CDTF">2024-01-25T06:55:00Z</dcterms:modified>
</cp:coreProperties>
</file>