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bCs/>
          <w:sz w:val="28"/>
          <w:szCs w:val="28"/>
          <w:lang w:eastAsia="zh-CN"/>
        </w:rPr>
      </w:pPr>
      <w:r>
        <w:rPr>
          <w:rFonts w:ascii="Times New Roman" w:hAnsi="Times New Roman" w:eastAsia="Times New Roman"/>
          <w:b/>
          <w:bCs/>
          <w:sz w:val="28"/>
          <w:szCs w:val="28"/>
          <w:lang w:eastAsia="zh-CN"/>
        </w:rPr>
        <w:t xml:space="preserve">Львівське  Комунальне Підприємство </w:t>
      </w:r>
    </w:p>
    <w:p>
      <w:pPr>
        <w:spacing w:after="0" w:line="240" w:lineRule="auto"/>
        <w:jc w:val="center"/>
        <w:rPr>
          <w:rFonts w:ascii="Times New Roman" w:hAnsi="Times New Roman" w:eastAsia="Times New Roman"/>
          <w:b/>
          <w:bCs/>
          <w:sz w:val="28"/>
          <w:szCs w:val="28"/>
          <w:lang w:eastAsia="zh-CN"/>
        </w:rPr>
      </w:pPr>
      <w:r>
        <w:rPr>
          <w:rFonts w:ascii="Times New Roman" w:hAnsi="Times New Roman" w:eastAsia="Times New Roman"/>
          <w:b/>
          <w:bCs/>
          <w:sz w:val="28"/>
          <w:szCs w:val="28"/>
          <w:lang w:eastAsia="zh-CN"/>
        </w:rPr>
        <w:t>«ЛЬВІВСВІТЛО»</w:t>
      </w:r>
    </w:p>
    <w:p>
      <w:pPr>
        <w:spacing w:after="0" w:line="240" w:lineRule="auto"/>
        <w:jc w:val="center"/>
        <w:rPr>
          <w:rFonts w:ascii="Times New Roman" w:hAnsi="Times New Roman" w:eastAsia="Times New Roman"/>
          <w:b/>
          <w:bCs/>
          <w:sz w:val="28"/>
          <w:szCs w:val="28"/>
          <w:lang w:eastAsia="zh-CN"/>
        </w:rPr>
      </w:pPr>
    </w:p>
    <w:p>
      <w:pPr>
        <w:spacing w:after="0" w:line="240" w:lineRule="auto"/>
        <w:jc w:val="center"/>
        <w:rPr>
          <w:rFonts w:ascii="Times New Roman" w:hAnsi="Times New Roman" w:eastAsia="Times New Roman"/>
          <w:b/>
          <w:bCs/>
          <w:sz w:val="24"/>
          <w:szCs w:val="24"/>
          <w:lang w:eastAsia="zh-CN"/>
        </w:rPr>
      </w:pPr>
    </w:p>
    <w:tbl>
      <w:tblPr>
        <w:tblStyle w:val="9"/>
        <w:tblW w:w="0" w:type="auto"/>
        <w:tblInd w:w="0" w:type="dxa"/>
        <w:tblLayout w:type="fixed"/>
        <w:tblCellMar>
          <w:top w:w="0" w:type="dxa"/>
          <w:left w:w="108" w:type="dxa"/>
          <w:bottom w:w="0" w:type="dxa"/>
          <w:right w:w="108" w:type="dxa"/>
        </w:tblCellMar>
      </w:tblPr>
      <w:tblGrid>
        <w:gridCol w:w="5269"/>
        <w:gridCol w:w="2312"/>
        <w:gridCol w:w="1977"/>
      </w:tblGrid>
      <w:tr>
        <w:tblPrEx>
          <w:tblCellMar>
            <w:top w:w="0" w:type="dxa"/>
            <w:left w:w="108" w:type="dxa"/>
            <w:bottom w:w="0" w:type="dxa"/>
            <w:right w:w="108" w:type="dxa"/>
          </w:tblCellMar>
        </w:tblPrEx>
        <w:trPr>
          <w:trHeight w:val="258" w:hRule="atLeast"/>
        </w:trPr>
        <w:tc>
          <w:tcPr>
            <w:tcW w:w="5269" w:type="dxa"/>
            <w:shd w:val="clear" w:color="auto" w:fill="auto"/>
          </w:tcPr>
          <w:p>
            <w:pPr>
              <w:spacing w:after="0" w:line="240" w:lineRule="auto"/>
              <w:jc w:val="right"/>
              <w:rPr>
                <w:rFonts w:ascii="Times New Roman" w:hAnsi="Times New Roman" w:eastAsia="Times New Roman"/>
                <w:sz w:val="24"/>
                <w:szCs w:val="24"/>
                <w:lang w:val="en-US" w:eastAsia="zh-CN"/>
              </w:rPr>
            </w:pPr>
          </w:p>
        </w:tc>
        <w:tc>
          <w:tcPr>
            <w:tcW w:w="4289" w:type="dxa"/>
            <w:gridSpan w:val="2"/>
            <w:shd w:val="clear" w:color="auto" w:fill="auto"/>
          </w:tcPr>
          <w:p>
            <w:pPr>
              <w:spacing w:after="0" w:line="240" w:lineRule="auto"/>
              <w:rPr>
                <w:rFonts w:ascii="Times New Roman" w:hAnsi="Times New Roman" w:eastAsia="Times New Roman"/>
                <w:sz w:val="24"/>
                <w:szCs w:val="24"/>
                <w:lang w:eastAsia="zh-CN"/>
              </w:rPr>
            </w:pPr>
            <w:r>
              <w:rPr>
                <w:rFonts w:ascii="Times New Roman" w:hAnsi="Times New Roman" w:eastAsia="Times New Roman"/>
                <w:bCs/>
                <w:sz w:val="24"/>
                <w:szCs w:val="24"/>
                <w:lang w:eastAsia="uk-UA"/>
              </w:rPr>
              <w:t>ЗАТВЕРДЖЕНО</w:t>
            </w:r>
          </w:p>
        </w:tc>
      </w:tr>
      <w:tr>
        <w:tblPrEx>
          <w:tblCellMar>
            <w:top w:w="0" w:type="dxa"/>
            <w:left w:w="108" w:type="dxa"/>
            <w:bottom w:w="0" w:type="dxa"/>
            <w:right w:w="108" w:type="dxa"/>
          </w:tblCellMar>
        </w:tblPrEx>
        <w:trPr>
          <w:trHeight w:val="272" w:hRule="atLeast"/>
        </w:trPr>
        <w:tc>
          <w:tcPr>
            <w:tcW w:w="5269" w:type="dxa"/>
            <w:shd w:val="clear" w:color="auto" w:fill="auto"/>
          </w:tcPr>
          <w:p>
            <w:pPr>
              <w:keepNext/>
              <w:suppressAutoHyphens/>
              <w:spacing w:after="0" w:line="240" w:lineRule="auto"/>
              <w:ind w:right="-99"/>
              <w:jc w:val="right"/>
              <w:outlineLvl w:val="0"/>
              <w:rPr>
                <w:rFonts w:ascii="Times New Roman" w:hAnsi="Times New Roman" w:eastAsia="Times New Roman"/>
                <w:b/>
                <w:sz w:val="24"/>
                <w:szCs w:val="24"/>
                <w:lang w:eastAsia="zh-CN"/>
              </w:rPr>
            </w:pPr>
          </w:p>
        </w:tc>
        <w:tc>
          <w:tcPr>
            <w:tcW w:w="4289" w:type="dxa"/>
            <w:gridSpan w:val="2"/>
            <w:shd w:val="clear" w:color="auto" w:fill="auto"/>
          </w:tcPr>
          <w:p>
            <w:pPr>
              <w:keepNext/>
              <w:tabs>
                <w:tab w:val="left" w:pos="0"/>
              </w:tabs>
              <w:suppressAutoHyphens/>
              <w:spacing w:after="0" w:line="240" w:lineRule="auto"/>
              <w:ind w:right="-99"/>
              <w:outlineLvl w:val="0"/>
              <w:rPr>
                <w:rFonts w:ascii="Times New Roman" w:hAnsi="Times New Roman" w:eastAsia="Times New Roman"/>
                <w:b/>
                <w:sz w:val="24"/>
                <w:szCs w:val="24"/>
                <w:lang w:eastAsia="zh-CN"/>
              </w:rPr>
            </w:pPr>
            <w:r>
              <w:rPr>
                <w:rFonts w:ascii="Times New Roman" w:hAnsi="Times New Roman" w:eastAsia="Times New Roman"/>
                <w:sz w:val="24"/>
                <w:szCs w:val="24"/>
                <w:lang w:eastAsia="zh-CN"/>
              </w:rPr>
              <w:t>Рішенням уповноваженої особи №19/09</w:t>
            </w:r>
          </w:p>
        </w:tc>
      </w:tr>
      <w:tr>
        <w:tblPrEx>
          <w:tblCellMar>
            <w:top w:w="0" w:type="dxa"/>
            <w:left w:w="108" w:type="dxa"/>
            <w:bottom w:w="0" w:type="dxa"/>
            <w:right w:w="108" w:type="dxa"/>
          </w:tblCellMar>
        </w:tblPrEx>
        <w:trPr>
          <w:trHeight w:val="258" w:hRule="atLeast"/>
        </w:trPr>
        <w:tc>
          <w:tcPr>
            <w:tcW w:w="5269" w:type="dxa"/>
            <w:shd w:val="clear" w:color="auto" w:fill="auto"/>
          </w:tcPr>
          <w:p>
            <w:pPr>
              <w:keepNext/>
              <w:suppressAutoHyphens/>
              <w:spacing w:after="0" w:line="240" w:lineRule="auto"/>
              <w:ind w:right="-99"/>
              <w:jc w:val="right"/>
              <w:outlineLvl w:val="0"/>
              <w:rPr>
                <w:rFonts w:ascii="Times New Roman" w:hAnsi="Times New Roman" w:eastAsia="Times New Roman"/>
                <w:b/>
                <w:sz w:val="24"/>
                <w:szCs w:val="24"/>
                <w:lang w:eastAsia="zh-CN"/>
              </w:rPr>
            </w:pPr>
          </w:p>
        </w:tc>
        <w:tc>
          <w:tcPr>
            <w:tcW w:w="4289" w:type="dxa"/>
            <w:gridSpan w:val="2"/>
            <w:shd w:val="clear" w:color="auto" w:fill="auto"/>
          </w:tcPr>
          <w:p>
            <w:pPr>
              <w:keepNext/>
              <w:tabs>
                <w:tab w:val="left" w:pos="0"/>
              </w:tabs>
              <w:suppressAutoHyphens/>
              <w:spacing w:after="0" w:line="0" w:lineRule="atLeast"/>
              <w:ind w:right="-99"/>
              <w:outlineLvl w:val="0"/>
              <w:rPr>
                <w:rFonts w:ascii="Times New Roman" w:hAnsi="Times New Roman" w:eastAsia="Times New Roman"/>
                <w:b/>
                <w:sz w:val="24"/>
                <w:szCs w:val="24"/>
                <w:lang w:eastAsia="zh-CN"/>
              </w:rPr>
            </w:pPr>
            <w:r>
              <w:rPr>
                <w:rFonts w:ascii="Times New Roman" w:hAnsi="Times New Roman" w:eastAsia="Times New Roman"/>
                <w:sz w:val="24"/>
                <w:szCs w:val="24"/>
                <w:lang w:eastAsia="zh-CN"/>
              </w:rPr>
              <w:t>Від «   3» жовтня  2022 року</w:t>
            </w:r>
          </w:p>
        </w:tc>
      </w:tr>
      <w:tr>
        <w:tblPrEx>
          <w:tblCellMar>
            <w:top w:w="0" w:type="dxa"/>
            <w:left w:w="108" w:type="dxa"/>
            <w:bottom w:w="0" w:type="dxa"/>
            <w:right w:w="108" w:type="dxa"/>
          </w:tblCellMar>
        </w:tblPrEx>
        <w:trPr>
          <w:trHeight w:val="272" w:hRule="atLeast"/>
        </w:trPr>
        <w:tc>
          <w:tcPr>
            <w:tcW w:w="5269" w:type="dxa"/>
            <w:shd w:val="clear" w:color="auto" w:fill="auto"/>
          </w:tcPr>
          <w:p>
            <w:pPr>
              <w:spacing w:after="0" w:line="240" w:lineRule="auto"/>
              <w:jc w:val="right"/>
              <w:rPr>
                <w:rFonts w:ascii="Times New Roman" w:hAnsi="Times New Roman" w:eastAsia="Times New Roman"/>
                <w:sz w:val="24"/>
                <w:szCs w:val="24"/>
                <w:lang w:eastAsia="zh-CN"/>
              </w:rPr>
            </w:pPr>
          </w:p>
        </w:tc>
        <w:tc>
          <w:tcPr>
            <w:tcW w:w="4289" w:type="dxa"/>
            <w:gridSpan w:val="2"/>
            <w:shd w:val="clear" w:color="auto" w:fill="auto"/>
          </w:tcPr>
          <w:p>
            <w:pPr>
              <w:spacing w:after="0" w:line="0" w:lineRule="atLeast"/>
              <w:rPr>
                <w:rFonts w:ascii="Times New Roman" w:hAnsi="Times New Roman" w:eastAsia="Times New Roman"/>
                <w:sz w:val="24"/>
                <w:szCs w:val="24"/>
                <w:lang w:eastAsia="zh-CN"/>
              </w:rPr>
            </w:pPr>
            <w:r>
              <w:rPr>
                <w:rFonts w:ascii="Times New Roman" w:hAnsi="Times New Roman" w:eastAsia="Times New Roman"/>
                <w:bCs/>
                <w:sz w:val="24"/>
                <w:szCs w:val="24"/>
                <w:lang w:eastAsia="zh-CN"/>
              </w:rPr>
              <w:t xml:space="preserve">Уповноважена особа </w:t>
            </w:r>
          </w:p>
        </w:tc>
      </w:tr>
      <w:tr>
        <w:tblPrEx>
          <w:tblCellMar>
            <w:top w:w="0" w:type="dxa"/>
            <w:left w:w="108" w:type="dxa"/>
            <w:bottom w:w="0" w:type="dxa"/>
            <w:right w:w="108" w:type="dxa"/>
          </w:tblCellMar>
        </w:tblPrEx>
        <w:trPr>
          <w:trHeight w:val="2277" w:hRule="atLeast"/>
        </w:trPr>
        <w:tc>
          <w:tcPr>
            <w:tcW w:w="5269" w:type="dxa"/>
            <w:vMerge w:val="restart"/>
            <w:shd w:val="clear" w:color="auto" w:fill="auto"/>
          </w:tcPr>
          <w:p>
            <w:pPr>
              <w:snapToGrid w:val="0"/>
              <w:spacing w:after="0" w:line="240" w:lineRule="auto"/>
              <w:jc w:val="right"/>
              <w:rPr>
                <w:rFonts w:ascii="Times New Roman" w:hAnsi="Times New Roman" w:eastAsia="Times New Roman"/>
                <w:sz w:val="24"/>
                <w:szCs w:val="24"/>
                <w:lang w:eastAsia="zh-CN"/>
              </w:rPr>
            </w:pPr>
          </w:p>
        </w:tc>
        <w:tc>
          <w:tcPr>
            <w:tcW w:w="4289" w:type="dxa"/>
            <w:gridSpan w:val="2"/>
            <w:shd w:val="clear" w:color="auto" w:fill="auto"/>
          </w:tcPr>
          <w:p>
            <w:pPr>
              <w:spacing w:after="0" w:line="240" w:lineRule="auto"/>
              <w:rPr>
                <w:rFonts w:ascii="Times New Roman" w:hAnsi="Times New Roman" w:eastAsia="Times New Roman"/>
                <w:sz w:val="24"/>
                <w:szCs w:val="24"/>
                <w:lang w:eastAsia="zh-CN"/>
              </w:rPr>
            </w:pPr>
            <w:r>
              <w:rPr>
                <w:rFonts w:ascii="Times New Roman" w:hAnsi="Times New Roman" w:eastAsia="Times New Roman"/>
                <w:sz w:val="24"/>
                <w:szCs w:val="24"/>
                <w:lang w:eastAsia="uk-UA"/>
              </w:rPr>
              <w:drawing>
                <wp:inline distT="0" distB="0" distL="0" distR="0">
                  <wp:extent cx="1489710" cy="1518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1489948" cy="1518468"/>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138" w:hRule="atLeast"/>
        </w:trPr>
        <w:tc>
          <w:tcPr>
            <w:tcW w:w="5269" w:type="dxa"/>
            <w:vMerge w:val="continue"/>
            <w:shd w:val="clear" w:color="auto" w:fill="auto"/>
          </w:tcPr>
          <w:p>
            <w:pPr>
              <w:spacing w:after="0" w:line="240" w:lineRule="auto"/>
              <w:jc w:val="right"/>
              <w:rPr>
                <w:rFonts w:ascii="Times New Roman" w:hAnsi="Times New Roman" w:eastAsia="Times New Roman"/>
                <w:sz w:val="24"/>
                <w:szCs w:val="24"/>
                <w:lang w:eastAsia="zh-CN"/>
              </w:rPr>
            </w:pPr>
          </w:p>
        </w:tc>
        <w:tc>
          <w:tcPr>
            <w:tcW w:w="2312" w:type="dxa"/>
            <w:tcBorders>
              <w:bottom w:val="single" w:color="auto" w:sz="4" w:space="0"/>
            </w:tcBorders>
            <w:shd w:val="clear" w:color="auto" w:fill="auto"/>
          </w:tcPr>
          <w:p>
            <w:pPr>
              <w:spacing w:after="0" w:line="240" w:lineRule="auto"/>
              <w:rPr>
                <w:rFonts w:ascii="Times New Roman" w:hAnsi="Times New Roman" w:eastAsia="Times New Roman"/>
                <w:b/>
                <w:bCs/>
                <w:sz w:val="24"/>
                <w:szCs w:val="24"/>
                <w:lang w:eastAsia="zh-CN"/>
              </w:rPr>
            </w:pPr>
          </w:p>
        </w:tc>
        <w:tc>
          <w:tcPr>
            <w:tcW w:w="1977" w:type="dxa"/>
            <w:shd w:val="clear" w:color="auto" w:fill="auto"/>
          </w:tcPr>
          <w:p>
            <w:pPr>
              <w:spacing w:after="0" w:line="240" w:lineRule="auto"/>
              <w:rPr>
                <w:rFonts w:ascii="Times New Roman" w:hAnsi="Times New Roman" w:eastAsia="Times New Roman"/>
                <w:b/>
                <w:bCs/>
                <w:sz w:val="24"/>
                <w:szCs w:val="24"/>
                <w:lang w:eastAsia="zh-CN"/>
              </w:rPr>
            </w:pPr>
            <w:r>
              <w:rPr>
                <w:rFonts w:ascii="Times New Roman" w:hAnsi="Times New Roman" w:eastAsia="Times New Roman"/>
                <w:bCs/>
                <w:sz w:val="24"/>
                <w:szCs w:val="24"/>
                <w:lang w:eastAsia="zh-CN"/>
              </w:rPr>
              <w:t>Н.Дорош</w:t>
            </w:r>
          </w:p>
        </w:tc>
      </w:tr>
      <w:tr>
        <w:tblPrEx>
          <w:tblCellMar>
            <w:top w:w="0" w:type="dxa"/>
            <w:left w:w="108" w:type="dxa"/>
            <w:bottom w:w="0" w:type="dxa"/>
            <w:right w:w="108" w:type="dxa"/>
          </w:tblCellMar>
        </w:tblPrEx>
        <w:trPr>
          <w:trHeight w:val="138" w:hRule="atLeast"/>
        </w:trPr>
        <w:tc>
          <w:tcPr>
            <w:tcW w:w="5269" w:type="dxa"/>
            <w:vMerge w:val="continue"/>
            <w:shd w:val="clear" w:color="auto" w:fill="auto"/>
          </w:tcPr>
          <w:p>
            <w:pPr>
              <w:spacing w:after="0" w:line="240" w:lineRule="auto"/>
              <w:jc w:val="right"/>
              <w:rPr>
                <w:rFonts w:ascii="Times New Roman" w:hAnsi="Times New Roman" w:eastAsia="Times New Roman"/>
                <w:sz w:val="24"/>
                <w:szCs w:val="24"/>
                <w:lang w:eastAsia="zh-CN"/>
              </w:rPr>
            </w:pPr>
          </w:p>
        </w:tc>
        <w:tc>
          <w:tcPr>
            <w:tcW w:w="2312" w:type="dxa"/>
            <w:tcBorders>
              <w:top w:val="single" w:color="auto" w:sz="4" w:space="0"/>
            </w:tcBorders>
            <w:shd w:val="clear" w:color="auto" w:fill="auto"/>
          </w:tcPr>
          <w:p>
            <w:pPr>
              <w:spacing w:after="0" w:line="240" w:lineRule="auto"/>
              <w:jc w:val="center"/>
              <w:rPr>
                <w:rFonts w:ascii="Times New Roman" w:hAnsi="Times New Roman" w:eastAsia="Times New Roman"/>
                <w:b/>
                <w:bCs/>
                <w:sz w:val="24"/>
                <w:szCs w:val="24"/>
                <w:lang w:eastAsia="zh-CN"/>
              </w:rPr>
            </w:pPr>
            <w:r>
              <w:rPr>
                <w:rFonts w:ascii="Times New Roman" w:hAnsi="Times New Roman" w:eastAsia="Times New Roman"/>
                <w:sz w:val="24"/>
                <w:szCs w:val="24"/>
                <w:lang w:eastAsia="zh-CN"/>
              </w:rPr>
              <w:t>м.п.</w:t>
            </w:r>
          </w:p>
        </w:tc>
        <w:tc>
          <w:tcPr>
            <w:tcW w:w="1977" w:type="dxa"/>
            <w:shd w:val="clear" w:color="auto" w:fill="auto"/>
          </w:tcPr>
          <w:p>
            <w:pPr>
              <w:spacing w:after="0" w:line="240" w:lineRule="auto"/>
              <w:rPr>
                <w:rFonts w:ascii="Times New Roman" w:hAnsi="Times New Roman" w:eastAsia="Times New Roman"/>
                <w:b/>
                <w:bCs/>
                <w:sz w:val="24"/>
                <w:szCs w:val="24"/>
                <w:lang w:eastAsia="zh-CN"/>
              </w:rPr>
            </w:pPr>
          </w:p>
        </w:tc>
      </w:tr>
    </w:tbl>
    <w:p>
      <w:pPr>
        <w:spacing w:after="0" w:line="240" w:lineRule="auto"/>
        <w:ind w:left="320"/>
        <w:jc w:val="right"/>
        <w:rPr>
          <w:rFonts w:ascii="Times New Roman" w:hAnsi="Times New Roman" w:eastAsia="Times New Roman"/>
          <w:sz w:val="24"/>
          <w:szCs w:val="24"/>
          <w:lang w:eastAsia="zh-CN"/>
        </w:rPr>
      </w:pPr>
    </w:p>
    <w:p>
      <w:pPr>
        <w:spacing w:after="0" w:line="240" w:lineRule="auto"/>
        <w:ind w:left="320"/>
        <w:jc w:val="center"/>
        <w:rPr>
          <w:rFonts w:ascii="Times New Roman" w:hAnsi="Times New Roman" w:eastAsia="Times New Roman"/>
          <w:b/>
          <w:bCs/>
          <w:sz w:val="24"/>
          <w:szCs w:val="24"/>
          <w:lang w:eastAsia="zh-CN"/>
        </w:rPr>
      </w:pPr>
    </w:p>
    <w:p>
      <w:pPr>
        <w:spacing w:after="0" w:line="240" w:lineRule="auto"/>
        <w:ind w:left="320"/>
        <w:jc w:val="center"/>
        <w:rPr>
          <w:rFonts w:ascii="Times New Roman" w:hAnsi="Times New Roman" w:eastAsia="Times New Roman"/>
          <w:b/>
          <w:bCs/>
          <w:sz w:val="24"/>
          <w:szCs w:val="24"/>
          <w:lang w:eastAsia="zh-CN"/>
        </w:rPr>
      </w:pPr>
    </w:p>
    <w:p>
      <w:pPr>
        <w:spacing w:after="0" w:line="240" w:lineRule="auto"/>
        <w:jc w:val="center"/>
        <w:rPr>
          <w:rFonts w:ascii="Times New Roman" w:hAnsi="Times New Roman" w:eastAsia="Times New Roman"/>
          <w:b/>
          <w:bCs/>
          <w:sz w:val="24"/>
          <w:szCs w:val="24"/>
          <w:lang w:eastAsia="zh-CN"/>
        </w:rPr>
      </w:pPr>
    </w:p>
    <w:tbl>
      <w:tblPr>
        <w:tblStyle w:val="9"/>
        <w:tblW w:w="0" w:type="auto"/>
        <w:tblInd w:w="0" w:type="dxa"/>
        <w:tblLayout w:type="fixed"/>
        <w:tblCellMar>
          <w:top w:w="0" w:type="dxa"/>
          <w:left w:w="108" w:type="dxa"/>
          <w:bottom w:w="0" w:type="dxa"/>
          <w:right w:w="108" w:type="dxa"/>
        </w:tblCellMar>
      </w:tblPr>
      <w:tblGrid>
        <w:gridCol w:w="9847"/>
      </w:tblGrid>
      <w:tr>
        <w:tblPrEx>
          <w:tblCellMar>
            <w:top w:w="0" w:type="dxa"/>
            <w:left w:w="108" w:type="dxa"/>
            <w:bottom w:w="0" w:type="dxa"/>
            <w:right w:w="108" w:type="dxa"/>
          </w:tblCellMar>
        </w:tblPrEx>
        <w:tc>
          <w:tcPr>
            <w:tcW w:w="9847" w:type="dxa"/>
            <w:shd w:val="clear" w:color="auto" w:fill="auto"/>
          </w:tcPr>
          <w:p>
            <w:pPr>
              <w:spacing w:after="0" w:line="240" w:lineRule="auto"/>
              <w:jc w:val="center"/>
              <w:rPr>
                <w:rFonts w:ascii="Times New Roman" w:hAnsi="Times New Roman" w:eastAsia="Times New Roman"/>
                <w:b/>
                <w:bCs/>
                <w:sz w:val="24"/>
                <w:szCs w:val="24"/>
                <w:lang w:eastAsia="zh-CN"/>
              </w:rPr>
            </w:pPr>
            <w:r>
              <w:rPr>
                <w:rFonts w:ascii="Times New Roman" w:hAnsi="Times New Roman" w:eastAsia="Times New Roman"/>
                <w:b/>
                <w:bCs/>
                <w:sz w:val="24"/>
                <w:szCs w:val="24"/>
                <w:lang w:eastAsia="zh-CN"/>
              </w:rPr>
              <w:t>ТЕНДЕРНА ДОКУМЕНТАЦІЯ  ЗІ ЗМІНАМИ</w:t>
            </w:r>
          </w:p>
          <w:p>
            <w:pPr>
              <w:spacing w:after="0" w:line="240" w:lineRule="auto"/>
              <w:jc w:val="center"/>
              <w:rPr>
                <w:rFonts w:ascii="Times New Roman" w:hAnsi="Times New Roman" w:eastAsia="Times New Roman"/>
                <w:sz w:val="24"/>
                <w:szCs w:val="24"/>
                <w:lang w:eastAsia="zh-CN"/>
              </w:rPr>
            </w:pPr>
          </w:p>
        </w:tc>
      </w:tr>
    </w:tbl>
    <w:p>
      <w:pPr>
        <w:spacing w:after="0" w:line="240" w:lineRule="auto"/>
        <w:jc w:val="center"/>
        <w:rPr>
          <w:rFonts w:ascii="Times New Roman" w:hAnsi="Times New Roman" w:eastAsia="Times New Roman"/>
          <w:sz w:val="24"/>
          <w:szCs w:val="24"/>
          <w:lang w:eastAsia="zh-CN"/>
        </w:rPr>
      </w:pPr>
    </w:p>
    <w:p>
      <w:pPr>
        <w:spacing w:after="0" w:line="240" w:lineRule="auto"/>
        <w:jc w:val="center"/>
        <w:rPr>
          <w:rFonts w:ascii="Times New Roman" w:hAnsi="Times New Roman" w:eastAsia="Times New Roman"/>
          <w:b/>
          <w:bCs/>
          <w:sz w:val="24"/>
          <w:szCs w:val="24"/>
          <w:lang w:eastAsia="zh-CN"/>
        </w:rPr>
      </w:pPr>
      <w:r>
        <w:rPr>
          <w:rFonts w:ascii="Times New Roman" w:hAnsi="Times New Roman" w:eastAsia="Times New Roman"/>
          <w:b/>
          <w:bCs/>
          <w:sz w:val="24"/>
          <w:szCs w:val="24"/>
          <w:lang w:eastAsia="zh-CN"/>
        </w:rPr>
        <w:t>на закупівлю товару відповідно до</w:t>
      </w:r>
    </w:p>
    <w:p>
      <w:pPr>
        <w:widowControl w:val="0"/>
        <w:ind w:left="20"/>
        <w:contextualSpacing/>
        <w:jc w:val="center"/>
        <w:rPr>
          <w:rFonts w:ascii="Times New Roman" w:hAnsi="Times New Roman"/>
          <w:b/>
          <w:color w:val="000000"/>
          <w:spacing w:val="3"/>
          <w:sz w:val="24"/>
          <w:szCs w:val="24"/>
          <w:shd w:val="clear" w:color="auto" w:fill="FFFFFF"/>
          <w:lang w:val="ru-RU" w:eastAsia="ru-RU"/>
        </w:rPr>
      </w:pPr>
      <w:r>
        <w:rPr>
          <w:rFonts w:ascii="Times New Roman" w:hAnsi="Times New Roman"/>
          <w:b/>
          <w:bCs/>
          <w:color w:val="000000"/>
          <w:sz w:val="24"/>
          <w:szCs w:val="24"/>
        </w:rPr>
        <w:t>ДК 021:2015 -</w:t>
      </w:r>
      <w:r>
        <w:rPr>
          <w:rFonts w:ascii="Arial" w:hAnsi="Arial" w:cs="Arial"/>
          <w:color w:val="777777"/>
          <w:sz w:val="20"/>
          <w:szCs w:val="20"/>
          <w:shd w:val="clear" w:color="auto" w:fill="FDFEFD"/>
        </w:rPr>
        <w:t xml:space="preserve">  </w:t>
      </w:r>
      <w:r>
        <w:rPr>
          <w:rFonts w:ascii="Times New Roman" w:hAnsi="Times New Roman"/>
          <w:color w:val="000000"/>
          <w:sz w:val="28"/>
          <w:szCs w:val="28"/>
          <w:shd w:val="clear" w:color="auto" w:fill="FDFEFD"/>
        </w:rPr>
        <w:t>31510000-4</w:t>
      </w:r>
      <w:r>
        <w:rPr>
          <w:rFonts w:ascii="Times New Roman" w:hAnsi="Times New Roman"/>
          <w:color w:val="777777"/>
          <w:sz w:val="28"/>
          <w:szCs w:val="28"/>
          <w:shd w:val="clear" w:color="auto" w:fill="FDFEFD"/>
        </w:rPr>
        <w:t> - </w:t>
      </w:r>
      <w:r>
        <w:rPr>
          <w:rFonts w:ascii="Times New Roman" w:hAnsi="Times New Roman"/>
          <w:color w:val="000000"/>
          <w:sz w:val="28"/>
          <w:szCs w:val="28"/>
          <w:shd w:val="clear" w:color="auto" w:fill="FDFEFD"/>
        </w:rPr>
        <w:t>Електричні лампи розжарення (Лампи)</w:t>
      </w:r>
    </w:p>
    <w:p>
      <w:pPr>
        <w:spacing w:after="0" w:line="240" w:lineRule="auto"/>
        <w:jc w:val="center"/>
        <w:rPr>
          <w:rFonts w:ascii="Times New Roman" w:hAnsi="Times New Roman" w:eastAsia="Times New Roman"/>
          <w:b/>
          <w:sz w:val="24"/>
          <w:szCs w:val="24"/>
          <w:lang w:eastAsia="zh-CN"/>
        </w:rPr>
      </w:pPr>
    </w:p>
    <w:p>
      <w:pPr>
        <w:spacing w:after="0" w:line="240" w:lineRule="auto"/>
        <w:jc w:val="center"/>
        <w:rPr>
          <w:rFonts w:ascii="Times New Roman" w:hAnsi="Times New Roman" w:eastAsia="Times New Roman"/>
          <w:b/>
          <w:sz w:val="24"/>
          <w:szCs w:val="24"/>
          <w:lang w:eastAsia="zh-CN"/>
        </w:rPr>
      </w:pPr>
    </w:p>
    <w:p>
      <w:pPr>
        <w:spacing w:after="0" w:line="240" w:lineRule="auto"/>
        <w:jc w:val="center"/>
        <w:rPr>
          <w:rFonts w:ascii="Times New Roman" w:hAnsi="Times New Roman" w:eastAsia="Times New Roman"/>
          <w:b/>
          <w:sz w:val="24"/>
          <w:szCs w:val="24"/>
          <w:lang w:eastAsia="zh-CN"/>
        </w:rPr>
      </w:pPr>
    </w:p>
    <w:p>
      <w:pPr>
        <w:spacing w:after="0" w:line="240" w:lineRule="auto"/>
        <w:jc w:val="center"/>
        <w:rPr>
          <w:rFonts w:ascii="Times New Roman" w:hAnsi="Times New Roman" w:eastAsia="Times New Roman"/>
          <w:b/>
          <w:sz w:val="24"/>
          <w:szCs w:val="24"/>
          <w:lang w:eastAsia="zh-CN"/>
        </w:rPr>
      </w:pPr>
    </w:p>
    <w:tbl>
      <w:tblPr>
        <w:tblStyle w:val="9"/>
        <w:tblW w:w="0" w:type="auto"/>
        <w:tblInd w:w="0" w:type="dxa"/>
        <w:tblLayout w:type="fixed"/>
        <w:tblCellMar>
          <w:top w:w="0" w:type="dxa"/>
          <w:left w:w="108" w:type="dxa"/>
          <w:bottom w:w="0" w:type="dxa"/>
          <w:right w:w="108" w:type="dxa"/>
        </w:tblCellMar>
      </w:tblPr>
      <w:tblGrid>
        <w:gridCol w:w="9847"/>
      </w:tblGrid>
      <w:tr>
        <w:tblPrEx>
          <w:tblCellMar>
            <w:top w:w="0" w:type="dxa"/>
            <w:left w:w="108" w:type="dxa"/>
            <w:bottom w:w="0" w:type="dxa"/>
            <w:right w:w="108" w:type="dxa"/>
          </w:tblCellMar>
        </w:tblPrEx>
        <w:tc>
          <w:tcPr>
            <w:tcW w:w="9847" w:type="dxa"/>
            <w:shd w:val="clear" w:color="auto" w:fill="auto"/>
          </w:tcPr>
          <w:p>
            <w:pPr>
              <w:spacing w:after="0" w:line="240" w:lineRule="auto"/>
              <w:jc w:val="center"/>
              <w:rPr>
                <w:rFonts w:ascii="Times New Roman" w:hAnsi="Times New Roman" w:eastAsia="Times New Roman"/>
                <w:sz w:val="24"/>
                <w:szCs w:val="24"/>
                <w:lang w:eastAsia="zh-CN"/>
              </w:rPr>
            </w:pPr>
            <w:r>
              <w:rPr>
                <w:rFonts w:ascii="Times New Roman" w:hAnsi="Times New Roman" w:eastAsia="Times New Roman"/>
                <w:b/>
                <w:bCs/>
                <w:sz w:val="24"/>
                <w:szCs w:val="24"/>
                <w:lang w:eastAsia="zh-CN"/>
              </w:rPr>
              <w:t>ВІДКРИТИХ ТОРГІВ</w:t>
            </w:r>
          </w:p>
        </w:tc>
      </w:tr>
      <w:tr>
        <w:tblPrEx>
          <w:tblCellMar>
            <w:top w:w="0" w:type="dxa"/>
            <w:left w:w="108" w:type="dxa"/>
            <w:bottom w:w="0" w:type="dxa"/>
            <w:right w:w="108" w:type="dxa"/>
          </w:tblCellMar>
        </w:tblPrEx>
        <w:tc>
          <w:tcPr>
            <w:tcW w:w="9847" w:type="dxa"/>
            <w:shd w:val="clear" w:color="auto" w:fill="auto"/>
          </w:tcPr>
          <w:p>
            <w:pPr>
              <w:snapToGrid w:val="0"/>
              <w:spacing w:after="0" w:line="240" w:lineRule="auto"/>
              <w:rPr>
                <w:rFonts w:ascii="Times New Roman" w:hAnsi="Times New Roman" w:eastAsia="Times New Roman"/>
                <w:b/>
                <w:bCs/>
                <w:sz w:val="24"/>
                <w:szCs w:val="24"/>
                <w:lang w:eastAsia="zh-CN"/>
              </w:rPr>
            </w:pPr>
          </w:p>
        </w:tc>
      </w:tr>
    </w:tbl>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eastAsia="zh-CN"/>
        </w:rPr>
      </w:pPr>
    </w:p>
    <w:p>
      <w:pPr>
        <w:spacing w:after="0" w:line="240" w:lineRule="auto"/>
        <w:rPr>
          <w:rFonts w:ascii="Times New Roman" w:hAnsi="Times New Roman" w:eastAsia="Times New Roman"/>
          <w:sz w:val="24"/>
          <w:szCs w:val="24"/>
          <w:lang w:val="en-US" w:eastAsia="zh-CN"/>
        </w:rPr>
      </w:pPr>
    </w:p>
    <w:p>
      <w:pPr>
        <w:spacing w:after="0" w:line="240" w:lineRule="auto"/>
        <w:rPr>
          <w:rFonts w:ascii="Times New Roman" w:hAnsi="Times New Roman" w:eastAsia="Times New Roman"/>
          <w:sz w:val="24"/>
          <w:szCs w:val="24"/>
          <w:lang w:val="en-US" w:eastAsia="zh-CN"/>
        </w:rPr>
      </w:pPr>
    </w:p>
    <w:p>
      <w:pPr>
        <w:spacing w:after="0" w:line="240" w:lineRule="auto"/>
        <w:rPr>
          <w:rFonts w:ascii="Times New Roman" w:hAnsi="Times New Roman" w:eastAsia="Times New Roman"/>
          <w:sz w:val="24"/>
          <w:szCs w:val="24"/>
          <w:lang w:eastAsia="zh-CN"/>
        </w:rPr>
      </w:pPr>
    </w:p>
    <w:p>
      <w:pPr>
        <w:spacing w:after="0" w:line="240" w:lineRule="auto"/>
        <w:jc w:val="center"/>
        <w:rPr>
          <w:rFonts w:ascii="Times New Roman" w:hAnsi="Times New Roman" w:eastAsia="Times New Roman"/>
          <w:b/>
          <w:bCs/>
          <w:sz w:val="24"/>
          <w:szCs w:val="24"/>
          <w:lang w:eastAsia="zh-CN"/>
        </w:rPr>
      </w:pPr>
    </w:p>
    <w:p>
      <w:pPr>
        <w:spacing w:after="0" w:line="240" w:lineRule="auto"/>
        <w:jc w:val="center"/>
        <w:rPr>
          <w:rFonts w:ascii="Times New Roman" w:hAnsi="Times New Roman" w:eastAsia="Times New Roman"/>
          <w:b/>
          <w:bCs/>
          <w:sz w:val="24"/>
          <w:szCs w:val="24"/>
          <w:lang w:val="en-US" w:eastAsia="zh-CN"/>
        </w:rPr>
      </w:pPr>
      <w:r>
        <w:rPr>
          <w:rFonts w:ascii="Times New Roman" w:hAnsi="Times New Roman" w:eastAsia="Times New Roman"/>
          <w:b/>
          <w:bCs/>
          <w:sz w:val="24"/>
          <w:szCs w:val="24"/>
          <w:lang w:eastAsia="zh-CN"/>
        </w:rPr>
        <w:t>м. Львів- 2022</w:t>
      </w:r>
    </w:p>
    <w:p>
      <w:pPr>
        <w:jc w:val="center"/>
        <w:rPr>
          <w:lang w:val="en-US"/>
        </w:rPr>
      </w:pPr>
    </w:p>
    <w:tbl>
      <w:tblPr>
        <w:tblStyle w:val="9"/>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3147"/>
        <w:gridCol w:w="18"/>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vAlign w:val="center"/>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w:t>
            </w:r>
          </w:p>
        </w:tc>
        <w:tc>
          <w:tcPr>
            <w:tcW w:w="9420" w:type="dxa"/>
            <w:gridSpan w:val="3"/>
            <w:shd w:val="clear" w:color="auto" w:fill="auto"/>
            <w:vAlign w:val="center"/>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Розділ 1.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vAlign w:val="center"/>
          </w:tcPr>
          <w:p>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w:t>
            </w:r>
          </w:p>
        </w:tc>
        <w:tc>
          <w:tcPr>
            <w:tcW w:w="3147" w:type="dxa"/>
            <w:shd w:val="clear" w:color="auto" w:fill="auto"/>
            <w:vAlign w:val="center"/>
          </w:tcPr>
          <w:p>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2</w:t>
            </w:r>
          </w:p>
        </w:tc>
        <w:tc>
          <w:tcPr>
            <w:tcW w:w="6273" w:type="dxa"/>
            <w:gridSpan w:val="2"/>
            <w:shd w:val="clear" w:color="auto" w:fill="auto"/>
            <w:vAlign w:val="center"/>
          </w:tcPr>
          <w:p>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73" w:type="dxa"/>
            <w:gridSpan w:val="2"/>
            <w:shd w:val="clear" w:color="auto" w:fill="auto"/>
            <w:vAlign w:val="center"/>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Тендерну документацію розроблено відповідно до вимог </w:t>
            </w:r>
            <w:r>
              <w:fldChar w:fldCharType="begin"/>
            </w:r>
            <w:r>
              <w:instrText xml:space="preserve"> HYPERLINK "http://zakon0.rada.gov.ua/laws/show/2289-17" \t "_blank" </w:instrText>
            </w:r>
            <w:r>
              <w:fldChar w:fldCharType="separate"/>
            </w:r>
            <w:r>
              <w:rPr>
                <w:rFonts w:ascii="Times New Roman" w:hAnsi="Times New Roman"/>
                <w:sz w:val="24"/>
                <w:szCs w:val="24"/>
                <w:lang w:eastAsia="uk-UA"/>
              </w:rPr>
              <w:t>Закону</w:t>
            </w:r>
            <w:r>
              <w:rPr>
                <w:rFonts w:ascii="Times New Roman" w:hAnsi="Times New Roman"/>
                <w:sz w:val="24"/>
                <w:szCs w:val="24"/>
                <w:lang w:eastAsia="uk-UA"/>
              </w:rPr>
              <w:fldChar w:fldCharType="end"/>
            </w:r>
            <w:r>
              <w:rPr>
                <w:rFonts w:ascii="Times New Roman" w:hAnsi="Times New Roman"/>
                <w:sz w:val="24"/>
                <w:szCs w:val="24"/>
                <w:lang w:eastAsia="uk-UA"/>
              </w:rPr>
              <w:t xml:space="preserve"> України від 25.12.2015 № 922-VIII «Про публічні закупівлі», з урахуванням змін внесених Законом України від 19.09.2019 № 114-ІХ (далі – Закон). Терміни вживають у значенні, наведеному в Законі.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замовника торгів</w:t>
            </w:r>
          </w:p>
        </w:tc>
        <w:tc>
          <w:tcPr>
            <w:tcW w:w="6273"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2.1</w:t>
            </w:r>
          </w:p>
        </w:tc>
        <w:tc>
          <w:tcPr>
            <w:tcW w:w="3147" w:type="dxa"/>
            <w:shd w:val="clear" w:color="auto" w:fill="auto"/>
          </w:tcPr>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73"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Львівське комунальне підприємство «Львівсвітло» ЄДРПОУ 03348577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2.2</w:t>
            </w:r>
          </w:p>
        </w:tc>
        <w:tc>
          <w:tcPr>
            <w:tcW w:w="3147" w:type="dxa"/>
            <w:shd w:val="clear" w:color="auto" w:fill="auto"/>
          </w:tcPr>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73"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вул.А.Лінкольна, м.Львів, Україна, 79068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2.3</w:t>
            </w:r>
          </w:p>
        </w:tc>
        <w:tc>
          <w:tcPr>
            <w:tcW w:w="314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73"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Дорош Надія Володимирівна– уповноважена особа </w:t>
            </w:r>
          </w:p>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ЛКП «Львівсвітло», е-mail: supply.lvivsvitlo@gmail.com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273" w:type="dxa"/>
            <w:gridSpan w:val="2"/>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3.1</w:t>
            </w:r>
          </w:p>
        </w:tc>
        <w:tc>
          <w:tcPr>
            <w:tcW w:w="314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Джерело фінансування закупівлі</w:t>
            </w:r>
          </w:p>
        </w:tc>
        <w:tc>
          <w:tcPr>
            <w:tcW w:w="6273" w:type="dxa"/>
            <w:gridSpan w:val="2"/>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місцевий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73" w:type="dxa"/>
            <w:gridSpan w:val="2"/>
            <w:shd w:val="clear" w:color="auto" w:fill="auto"/>
          </w:tcPr>
          <w:p>
            <w:pPr>
              <w:widowControl w:val="0"/>
              <w:spacing w:after="0" w:line="240" w:lineRule="auto"/>
              <w:contextualSpacing/>
              <w:jc w:val="both"/>
              <w:rPr>
                <w:rFonts w:ascii="Times New Roman" w:hAnsi="Times New Roman"/>
                <w:strike/>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4.1</w:t>
            </w:r>
          </w:p>
        </w:tc>
        <w:tc>
          <w:tcPr>
            <w:tcW w:w="314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73" w:type="dxa"/>
            <w:gridSpan w:val="2"/>
            <w:shd w:val="clear" w:color="auto" w:fill="auto"/>
          </w:tcPr>
          <w:p>
            <w:pPr>
              <w:widowControl w:val="0"/>
              <w:ind w:left="20"/>
              <w:contextualSpacing/>
              <w:rPr>
                <w:rFonts w:ascii="Times New Roman" w:hAnsi="Times New Roman"/>
                <w:b/>
                <w:sz w:val="24"/>
                <w:szCs w:val="24"/>
                <w:lang w:eastAsia="uk-UA"/>
              </w:rPr>
            </w:pPr>
            <w:r>
              <w:rPr>
                <w:rFonts w:ascii="Times New Roman" w:hAnsi="Times New Roman"/>
                <w:bCs/>
                <w:color w:val="000000"/>
                <w:sz w:val="24"/>
                <w:szCs w:val="24"/>
              </w:rPr>
              <w:t>ДК 021:2015 -</w:t>
            </w:r>
            <w:r>
              <w:rPr>
                <w:rFonts w:ascii="Times New Roman" w:hAnsi="Times New Roman"/>
                <w:color w:val="000000"/>
                <w:sz w:val="24"/>
                <w:szCs w:val="24"/>
                <w:shd w:val="clear" w:color="auto" w:fill="FDFEFD"/>
              </w:rPr>
              <w:t>31510000-4</w:t>
            </w:r>
            <w:r>
              <w:rPr>
                <w:rFonts w:ascii="Times New Roman" w:hAnsi="Times New Roman"/>
                <w:color w:val="777777"/>
                <w:sz w:val="24"/>
                <w:szCs w:val="24"/>
                <w:shd w:val="clear" w:color="auto" w:fill="FDFEFD"/>
              </w:rPr>
              <w:t> - </w:t>
            </w:r>
            <w:r>
              <w:rPr>
                <w:rFonts w:ascii="Times New Roman" w:hAnsi="Times New Roman"/>
                <w:color w:val="000000"/>
                <w:sz w:val="24"/>
                <w:szCs w:val="24"/>
                <w:shd w:val="clear" w:color="auto" w:fill="FDFEFD"/>
              </w:rPr>
              <w:t>Електричні лампи розжарення (Лампи)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4.2</w:t>
            </w:r>
          </w:p>
        </w:tc>
        <w:tc>
          <w:tcPr>
            <w:tcW w:w="3147" w:type="dxa"/>
            <w:shd w:val="clear" w:color="auto" w:fill="auto"/>
          </w:tcPr>
          <w:p>
            <w:pPr>
              <w:widowControl w:val="0"/>
              <w:spacing w:after="0" w:line="240" w:lineRule="auto"/>
              <w:ind w:left="-9" w:right="113"/>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gridSpan w:val="2"/>
            <w:shd w:val="clear" w:color="auto" w:fill="auto"/>
          </w:tcPr>
          <w:p>
            <w:pPr>
              <w:pStyle w:val="263"/>
              <w:widowControl w:val="0"/>
              <w:spacing w:before="120" w:line="240" w:lineRule="auto"/>
              <w:ind w:right="113"/>
              <w:jc w:val="both"/>
              <w:rPr>
                <w:rFonts w:ascii="Times New Roman" w:hAnsi="Times New Roman"/>
                <w:sz w:val="24"/>
                <w:szCs w:val="24"/>
                <w:lang w:eastAsia="uk-UA"/>
              </w:rPr>
            </w:pPr>
            <w:r>
              <w:rPr>
                <w:rFonts w:ascii="Times New Roman" w:hAnsi="Times New Roman" w:cs="Times New Roman"/>
                <w:sz w:val="24"/>
                <w:szCs w:val="24"/>
                <w:lang w:val="uk-UA"/>
              </w:rPr>
              <w:t>4 200 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4.3</w:t>
            </w:r>
          </w:p>
        </w:tc>
        <w:tc>
          <w:tcPr>
            <w:tcW w:w="3147" w:type="dxa"/>
            <w:shd w:val="clear" w:color="auto" w:fill="auto"/>
          </w:tcPr>
          <w:p>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кількість, </w:t>
            </w:r>
          </w:p>
          <w:p>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eastAsia="uk-UA"/>
              </w:rPr>
              <w:t>обсяг поставки товарів</w:t>
            </w:r>
          </w:p>
        </w:tc>
        <w:tc>
          <w:tcPr>
            <w:tcW w:w="6273" w:type="dxa"/>
            <w:gridSpan w:val="2"/>
            <w:shd w:val="clear" w:color="auto" w:fill="auto"/>
          </w:tcPr>
          <w:p>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м.Львів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4.4</w:t>
            </w:r>
          </w:p>
        </w:tc>
        <w:tc>
          <w:tcPr>
            <w:tcW w:w="3147" w:type="dxa"/>
            <w:shd w:val="clear" w:color="auto" w:fill="auto"/>
          </w:tcPr>
          <w:p>
            <w:pPr>
              <w:widowControl w:val="0"/>
              <w:spacing w:after="0" w:line="240" w:lineRule="auto"/>
              <w:ind w:left="-9" w:right="113"/>
              <w:contextualSpacing/>
              <w:rPr>
                <w:rFonts w:ascii="Times New Roman" w:hAnsi="Times New Roman"/>
                <w:sz w:val="24"/>
                <w:szCs w:val="24"/>
              </w:rPr>
            </w:pPr>
            <w:r>
              <w:rPr>
                <w:rFonts w:ascii="Times New Roman" w:hAnsi="Times New Roman"/>
                <w:sz w:val="24"/>
                <w:szCs w:val="24"/>
              </w:rPr>
              <w:t>строк поставки товарів</w:t>
            </w:r>
          </w:p>
        </w:tc>
        <w:tc>
          <w:tcPr>
            <w:tcW w:w="6273" w:type="dxa"/>
            <w:gridSpan w:val="2"/>
            <w:shd w:val="clear" w:color="auto" w:fill="auto"/>
          </w:tcPr>
          <w:p>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до 31.12.2022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5</w:t>
            </w:r>
          </w:p>
        </w:tc>
        <w:tc>
          <w:tcPr>
            <w:tcW w:w="3147" w:type="dxa"/>
            <w:shd w:val="clear" w:color="auto" w:fill="auto"/>
          </w:tcPr>
          <w:p>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73" w:type="dxa"/>
            <w:gridSpan w:val="2"/>
            <w:shd w:val="clear" w:color="auto" w:fill="auto"/>
          </w:tcPr>
          <w:p>
            <w:pPr>
              <w:widowControl w:val="0"/>
              <w:spacing w:after="0" w:line="240" w:lineRule="auto"/>
              <w:ind w:left="34" w:right="113" w:hanging="21"/>
              <w:contextualSpacing/>
              <w:jc w:val="both"/>
              <w:rPr>
                <w:rFonts w:ascii="Times New Roman" w:hAnsi="Times New Roman"/>
                <w:sz w:val="24"/>
                <w:szCs w:val="24"/>
              </w:rPr>
            </w:pPr>
            <w:r>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73" w:type="dxa"/>
            <w:gridSpan w:val="2"/>
            <w:shd w:val="clear" w:color="auto" w:fill="auto"/>
          </w:tcPr>
          <w:p>
            <w:pPr>
              <w:widowControl w:val="0"/>
              <w:spacing w:after="0" w:line="240" w:lineRule="auto"/>
              <w:ind w:left="34" w:right="113" w:hanging="15"/>
              <w:contextualSpacing/>
              <w:jc w:val="both"/>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гривня.</w:t>
            </w:r>
          </w:p>
          <w:p>
            <w:pPr>
              <w:widowControl w:val="0"/>
              <w:spacing w:after="0" w:line="240" w:lineRule="auto"/>
              <w:ind w:right="15" w:firstLine="426"/>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rFonts w:ascii="Times New Roman" w:hAnsi="Times New Roman" w:eastAsia="Times New Roman"/>
                <w:sz w:val="24"/>
                <w:szCs w:val="24"/>
                <w:lang w:eastAsia="ru-RU"/>
              </w:rPr>
              <w:t xml:space="preserve"> іноземній валюті, зокрема, Євро або долар США</w:t>
            </w:r>
            <w:r>
              <w:rPr>
                <w:rFonts w:ascii="Times New Roman" w:hAnsi="Times New Roman"/>
                <w:sz w:val="24"/>
                <w:szCs w:val="24"/>
                <w:lang w:eastAsia="uk-UA"/>
              </w:rPr>
              <w:t>.</w:t>
            </w:r>
          </w:p>
          <w:p>
            <w:pPr>
              <w:widowControl w:val="0"/>
              <w:spacing w:after="0" w:line="240" w:lineRule="auto"/>
              <w:ind w:right="15" w:firstLine="426"/>
              <w:contextualSpacing/>
              <w:jc w:val="both"/>
              <w:rPr>
                <w:rStyle w:val="29"/>
                <w:rFonts w:ascii="Times New Roman" w:hAnsi="Times New Roman"/>
                <w:sz w:val="24"/>
                <w:szCs w:val="24"/>
              </w:rPr>
            </w:pPr>
            <w:r>
              <w:rPr>
                <w:rStyle w:val="29"/>
                <w:rFonts w:ascii="Times New Roman" w:hAnsi="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hAnsi="Times New Roman" w:eastAsia="Times New Roman"/>
                <w:sz w:val="24"/>
                <w:szCs w:val="24"/>
                <w:lang w:eastAsia="ru-RU"/>
              </w:rPr>
              <w:t>Євро або долару США</w:t>
            </w:r>
            <w:r>
              <w:rPr>
                <w:rStyle w:val="29"/>
                <w:rFonts w:ascii="Times New Roman" w:hAnsi="Times New Roman"/>
                <w:sz w:val="24"/>
                <w:szCs w:val="24"/>
              </w:rPr>
              <w:t>, установленим Національним банком України на дату розкриття тендерних пропозицій.</w:t>
            </w:r>
          </w:p>
          <w:p>
            <w:pPr>
              <w:spacing w:after="0" w:line="240" w:lineRule="auto"/>
              <w:ind w:right="15" w:firstLine="426"/>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Перерахунок в національну валюту – гривню здійснюється за наступною формулою:</w:t>
            </w:r>
          </w:p>
          <w:p>
            <w:pPr>
              <w:spacing w:after="0" w:line="240" w:lineRule="auto"/>
              <w:ind w:right="15" w:firstLine="426"/>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К=К1*К2, де</w:t>
            </w:r>
          </w:p>
          <w:p>
            <w:pPr>
              <w:spacing w:after="0" w:line="240" w:lineRule="auto"/>
              <w:ind w:right="15" w:firstLine="426"/>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К1- ціна тендерної пропозиції в іноземній валюті (Євро чи долар США) на момент розкриття </w:t>
            </w:r>
            <w:r>
              <w:rPr>
                <w:rStyle w:val="29"/>
                <w:rFonts w:ascii="Times New Roman" w:hAnsi="Times New Roman"/>
                <w:sz w:val="24"/>
                <w:szCs w:val="24"/>
              </w:rPr>
              <w:t>тендерних пропозицій</w:t>
            </w:r>
            <w:r>
              <w:rPr>
                <w:rFonts w:ascii="Times New Roman" w:hAnsi="Times New Roman" w:eastAsia="Times New Roman"/>
                <w:sz w:val="24"/>
                <w:szCs w:val="24"/>
                <w:lang w:eastAsia="ru-RU"/>
              </w:rPr>
              <w:t>;</w:t>
            </w:r>
          </w:p>
          <w:p>
            <w:pPr>
              <w:spacing w:after="0" w:line="240" w:lineRule="auto"/>
              <w:ind w:right="15" w:firstLine="426"/>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К2 - курс гривні до відповідної іноземної валюти (Євро чи долар США) на момент розкриття </w:t>
            </w:r>
            <w:r>
              <w:rPr>
                <w:rStyle w:val="29"/>
                <w:rFonts w:ascii="Times New Roman" w:hAnsi="Times New Roman"/>
                <w:sz w:val="24"/>
                <w:szCs w:val="24"/>
              </w:rPr>
              <w:t>тендерних пропозицій</w:t>
            </w:r>
            <w:r>
              <w:rPr>
                <w:rFonts w:ascii="Times New Roman" w:hAnsi="Times New Roman" w:eastAsia="Times New Roman"/>
                <w:sz w:val="24"/>
                <w:szCs w:val="24"/>
                <w:lang w:eastAsia="ru-RU"/>
              </w:rPr>
              <w:t xml:space="preserve">. </w:t>
            </w:r>
          </w:p>
          <w:p>
            <w:pPr>
              <w:widowControl w:val="0"/>
              <w:spacing w:after="0" w:line="240" w:lineRule="auto"/>
              <w:ind w:left="34" w:right="113" w:hanging="15"/>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29"/>
                <w:rFonts w:ascii="Times New Roman" w:hAnsi="Times New Roman"/>
                <w:sz w:val="24"/>
                <w:szCs w:val="24"/>
              </w:rPr>
              <w:t>тендерних пропозицій</w:t>
            </w:r>
            <w:r>
              <w:rPr>
                <w:rFonts w:ascii="Times New Roman" w:hAnsi="Times New Roman" w:eastAsia="Times New Roman"/>
                <w:sz w:val="24"/>
                <w:szCs w:val="24"/>
                <w:lang w:eastAsia="ru-RU"/>
              </w:rPr>
              <w:t xml:space="preserve"> визначається за даними офіційного веб-сайту НБУ.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73" w:type="dxa"/>
            <w:gridSpan w:val="2"/>
            <w:shd w:val="clear" w:color="auto" w:fill="auto"/>
          </w:tcPr>
          <w:p>
            <w:pPr>
              <w:pStyle w:val="31"/>
              <w:ind w:firstLine="527"/>
              <w:jc w:val="both"/>
              <w:rPr>
                <w:color w:val="auto"/>
                <w:lang w:val="uk-UA" w:bidi="hi-IN"/>
              </w:rPr>
            </w:pPr>
            <w:r>
              <w:rPr>
                <w:color w:val="auto"/>
                <w:lang w:val="uk-UA"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pPr>
              <w:pStyle w:val="31"/>
              <w:ind w:firstLine="527"/>
              <w:jc w:val="both"/>
              <w:rPr>
                <w:color w:val="auto"/>
                <w:lang w:val="uk-UA" w:bidi="hi-IN"/>
              </w:rPr>
            </w:pPr>
            <w:r>
              <w:rPr>
                <w:color w:val="auto"/>
                <w:lang w:val="uk-UA" w:bidi="hi-IN"/>
              </w:rPr>
              <w:t>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Всі інші документи, що мають відношення до тендерної пропозиції, повинні бути складені українською або російською мовами.</w:t>
            </w:r>
          </w:p>
          <w:p>
            <w:pPr>
              <w:pStyle w:val="31"/>
              <w:ind w:firstLine="527"/>
              <w:jc w:val="both"/>
              <w:rPr>
                <w:color w:val="auto"/>
                <w:lang w:val="uk-UA" w:bidi="hi-IN"/>
              </w:rPr>
            </w:pPr>
            <w:r>
              <w:rPr>
                <w:color w:val="auto"/>
                <w:lang w:val="uk-UA" w:bidi="hi-IN"/>
              </w:rPr>
              <w:t xml:space="preserve">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викладені іншими мовами ніж українська або російська,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 </w:t>
            </w:r>
          </w:p>
          <w:p>
            <w:pPr>
              <w:pStyle w:val="31"/>
              <w:ind w:firstLine="527"/>
              <w:jc w:val="both"/>
              <w:rPr>
                <w:color w:val="auto"/>
                <w:lang w:val="uk-UA" w:bidi="hi-IN"/>
              </w:rPr>
            </w:pPr>
            <w:r>
              <w:rPr>
                <w:color w:val="auto"/>
                <w:lang w:val="uk-UA" w:bidi="hi-IN"/>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 Зазначений переклад має бути засвідченим у встановленому Законом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uto"/>
            <w:vAlign w:val="center"/>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2. </w:t>
            </w:r>
            <w:r>
              <w:rPr>
                <w:rFonts w:ascii="Times New Roman" w:hAnsi="Times New Roman"/>
                <w:b/>
                <w:sz w:val="24"/>
                <w:szCs w:val="24"/>
              </w:rPr>
              <w:t>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73" w:type="dxa"/>
            <w:gridSpan w:val="2"/>
            <w:shd w:val="clear" w:color="auto" w:fill="auto"/>
          </w:tcPr>
          <w:p>
            <w:pPr>
              <w:pStyle w:val="28"/>
              <w:widowControl w:val="0"/>
              <w:ind w:right="113"/>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pPr>
              <w:shd w:val="clear" w:color="auto" w:fill="FFFFFF"/>
              <w:spacing w:after="0" w:line="0" w:lineRule="atLeast"/>
              <w:ind w:hanging="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0" w:name="n713"/>
            <w:bookmarkEnd w:id="0"/>
          </w:p>
          <w:p>
            <w:pPr>
              <w:shd w:val="clear" w:color="auto" w:fill="FFFFFF"/>
              <w:spacing w:after="0" w:line="0" w:lineRule="atLeast"/>
              <w:ind w:hanging="4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6273" w:type="dxa"/>
            <w:gridSpan w:val="2"/>
            <w:shd w:val="clear" w:color="auto" w:fill="auto"/>
          </w:tcPr>
          <w:p>
            <w:pPr>
              <w:pStyle w:val="28"/>
              <w:widowControl w:val="0"/>
              <w:ind w:right="113" w:firstLine="529"/>
              <w:contextualSpacing/>
              <w:jc w:val="both"/>
              <w:rPr>
                <w:rFonts w:ascii="Times New Roman" w:hAnsi="Times New Roman"/>
                <w:sz w:val="24"/>
                <w:szCs w:val="24"/>
              </w:rPr>
            </w:pPr>
            <w:r>
              <w:rPr>
                <w:rFonts w:ascii="Times New Roman" w:hAnsi="Times New Roman"/>
                <w:sz w:val="24"/>
                <w:szCs w:val="24"/>
              </w:rPr>
              <w:t xml:space="preserve">Замовник має право з власної ініціативи </w:t>
            </w:r>
            <w:r>
              <w:rPr>
                <w:rFonts w:ascii="Times New Roman" w:hAnsi="Times New Roman"/>
                <w:sz w:val="24"/>
                <w:szCs w:val="24"/>
                <w:shd w:val="clear" w:color="auto" w:fill="FFFFFF"/>
              </w:rPr>
              <w:t>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rPr>
              <w:t>статті 8</w:t>
            </w:r>
            <w:r>
              <w:rPr>
                <w:rFonts w:ascii="Times New Roman" w:hAnsi="Times New Roman"/>
                <w:sz w:val="24"/>
                <w:szCs w:val="24"/>
                <w:shd w:val="clear" w:color="auto" w:fill="FFFFFF"/>
              </w:rPr>
              <w:t xml:space="preserve"> Закону, або за результатами звернень, </w:t>
            </w:r>
            <w:r>
              <w:rPr>
                <w:rFonts w:ascii="Times New Roman" w:hAnsi="Times New Roman"/>
                <w:sz w:val="24"/>
                <w:szCs w:val="24"/>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pPr>
              <w:pStyle w:val="28"/>
              <w:widowControl w:val="0"/>
              <w:ind w:right="113" w:firstLine="529"/>
              <w:contextualSpacing/>
              <w:jc w:val="both"/>
              <w:rPr>
                <w:rFonts w:ascii="Times New Roman" w:hAnsi="Times New Roman"/>
                <w:sz w:val="24"/>
                <w:szCs w:val="24"/>
              </w:rPr>
            </w:pPr>
            <w:r>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28"/>
              <w:widowControl w:val="0"/>
              <w:ind w:right="113" w:firstLine="529"/>
              <w:contextualSpacing/>
              <w:jc w:val="both"/>
              <w:rPr>
                <w:rFonts w:ascii="Times New Roman" w:hAnsi="Times New Roman"/>
                <w:sz w:val="24"/>
                <w:szCs w:val="24"/>
              </w:rPr>
            </w:pPr>
            <w:r>
              <w:rPr>
                <w:rFonts w:ascii="Times New Roman" w:hAnsi="Times New Roman"/>
                <w:sz w:val="24"/>
                <w:szCs w:val="24"/>
              </w:rPr>
              <w:t xml:space="preserve"> Зазначена інформація оприлюднюється замовником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uto"/>
            <w:vAlign w:val="center"/>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3. Інструкція з підготовки тендерної пропозиції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1</w:t>
            </w:r>
          </w:p>
        </w:tc>
        <w:tc>
          <w:tcPr>
            <w:tcW w:w="3147" w:type="dxa"/>
            <w:tcBorders>
              <w:bottom w:val="single" w:color="auto" w:sz="4" w:space="0"/>
            </w:tcBorders>
            <w:shd w:val="clear" w:color="auto" w:fill="auto"/>
          </w:tcPr>
          <w:p>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p>
            <w:pPr>
              <w:widowControl w:val="0"/>
              <w:spacing w:after="0" w:line="240" w:lineRule="auto"/>
              <w:ind w:right="113"/>
              <w:contextualSpacing/>
              <w:jc w:val="both"/>
              <w:rPr>
                <w:rFonts w:ascii="Times New Roman" w:hAnsi="Times New Roman"/>
                <w:b/>
                <w:sz w:val="24"/>
                <w:szCs w:val="24"/>
                <w:lang w:eastAsia="uk-UA"/>
              </w:rPr>
            </w:pPr>
          </w:p>
          <w:p>
            <w:pPr>
              <w:widowControl w:val="0"/>
              <w:spacing w:after="0" w:line="240" w:lineRule="auto"/>
              <w:ind w:right="113"/>
              <w:contextualSpacing/>
              <w:jc w:val="both"/>
              <w:rPr>
                <w:rFonts w:ascii="Times New Roman" w:hAnsi="Times New Roman"/>
                <w:b/>
                <w:sz w:val="24"/>
                <w:szCs w:val="24"/>
                <w:lang w:eastAsia="uk-UA"/>
              </w:rPr>
            </w:pPr>
          </w:p>
          <w:p>
            <w:pPr>
              <w:spacing w:after="0" w:line="240" w:lineRule="auto"/>
              <w:ind w:left="111" w:right="60"/>
              <w:jc w:val="center"/>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Проставляння відбитку печатки не є обов’язковим та здійснюється тільки за власним бажанням учасника та за наявності печатки.</w:t>
            </w:r>
          </w:p>
          <w:p>
            <w:pPr>
              <w:pStyle w:val="41"/>
              <w:widowControl w:val="0"/>
              <w:spacing w:line="240" w:lineRule="auto"/>
              <w:ind w:left="111" w:right="60"/>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eastAsia="ru-RU"/>
              </w:rPr>
              <w:t>**Нотаріально завірені документи та оригінали документів, видані учаснику іншими організаціями (підприємствами, установами) можуть не містити підпису керівника учасника або уповноваженої посадової особи учасника.</w:t>
            </w:r>
          </w:p>
          <w:p>
            <w:pPr>
              <w:pStyle w:val="41"/>
              <w:widowControl w:val="0"/>
              <w:spacing w:line="240" w:lineRule="auto"/>
              <w:ind w:left="111" w:right="60"/>
              <w:jc w:val="center"/>
              <w:rPr>
                <w:rFonts w:ascii="Times New Roman" w:hAnsi="Times New Roman" w:cs="Times New Roman"/>
                <w:color w:val="auto"/>
                <w:sz w:val="24"/>
                <w:szCs w:val="24"/>
                <w:lang w:val="uk-UA"/>
              </w:rPr>
            </w:pPr>
          </w:p>
          <w:p>
            <w:pPr>
              <w:widowControl w:val="0"/>
              <w:spacing w:after="0" w:line="240" w:lineRule="auto"/>
              <w:ind w:right="113"/>
              <w:contextualSpacing/>
              <w:jc w:val="both"/>
              <w:rPr>
                <w:rFonts w:ascii="Times New Roman" w:hAnsi="Times New Roman"/>
                <w:b/>
                <w:sz w:val="24"/>
                <w:szCs w:val="24"/>
                <w:lang w:eastAsia="uk-UA"/>
              </w:rPr>
            </w:pPr>
          </w:p>
        </w:tc>
        <w:tc>
          <w:tcPr>
            <w:tcW w:w="6273" w:type="dxa"/>
            <w:gridSpan w:val="2"/>
            <w:shd w:val="clear" w:color="auto" w:fill="auto"/>
          </w:tcPr>
          <w:p>
            <w:pPr>
              <w:pStyle w:val="42"/>
              <w:ind w:left="0" w:right="15" w:firstLine="425"/>
              <w:jc w:val="both"/>
              <w:rPr>
                <w:sz w:val="24"/>
                <w:szCs w:val="24"/>
                <w:lang w:val="uk-UA"/>
              </w:rPr>
            </w:pPr>
            <w:r>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pPr>
              <w:pStyle w:val="42"/>
              <w:ind w:left="0" w:right="15" w:firstLine="425"/>
              <w:jc w:val="both"/>
              <w:rPr>
                <w:sz w:val="24"/>
                <w:szCs w:val="24"/>
                <w:lang w:val="uk-UA"/>
              </w:rPr>
            </w:pPr>
            <w:r>
              <w:rPr>
                <w:sz w:val="24"/>
                <w:szCs w:val="24"/>
                <w:lang w:val="uk-UA"/>
              </w:rPr>
              <w:t>Тендерна пропозиція повинна складатися з:</w:t>
            </w:r>
          </w:p>
          <w:p>
            <w:pPr>
              <w:pStyle w:val="42"/>
              <w:ind w:left="0" w:right="15" w:firstLine="425"/>
              <w:jc w:val="both"/>
              <w:rPr>
                <w:sz w:val="24"/>
                <w:szCs w:val="24"/>
                <w:lang w:val="uk-UA"/>
              </w:rPr>
            </w:pPr>
            <w:r>
              <w:rPr>
                <w:sz w:val="24"/>
                <w:szCs w:val="24"/>
                <w:lang w:val="uk-UA"/>
              </w:rPr>
              <w:t xml:space="preserve">1.1. Тендерної пропозиції учасника за формою згідно </w:t>
            </w:r>
            <w:r>
              <w:rPr>
                <w:b/>
                <w:sz w:val="24"/>
                <w:szCs w:val="24"/>
                <w:lang w:val="uk-UA"/>
              </w:rPr>
              <w:t xml:space="preserve">Додатку 2 </w:t>
            </w:r>
            <w:r>
              <w:rPr>
                <w:sz w:val="24"/>
                <w:szCs w:val="24"/>
                <w:lang w:val="uk-UA"/>
              </w:rPr>
              <w:t>до Документації;</w:t>
            </w:r>
          </w:p>
          <w:p>
            <w:pPr>
              <w:pStyle w:val="42"/>
              <w:ind w:left="0" w:right="15" w:firstLine="425"/>
              <w:jc w:val="both"/>
              <w:rPr>
                <w:sz w:val="24"/>
                <w:szCs w:val="24"/>
                <w:lang w:val="uk-UA"/>
              </w:rPr>
            </w:pPr>
            <w:r>
              <w:rPr>
                <w:sz w:val="24"/>
                <w:szCs w:val="24"/>
                <w:lang w:val="uk-UA"/>
              </w:rPr>
              <w:t>1.</w:t>
            </w:r>
            <w:r>
              <w:rPr>
                <w:sz w:val="24"/>
                <w:szCs w:val="24"/>
                <w:lang w:val="ru-RU"/>
              </w:rPr>
              <w:t>2</w:t>
            </w:r>
            <w:r>
              <w:rPr>
                <w:sz w:val="24"/>
                <w:szCs w:val="24"/>
                <w:lang w:val="uk-UA"/>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p>
          <w:p>
            <w:pPr>
              <w:pStyle w:val="42"/>
              <w:ind w:left="0" w:right="15" w:firstLine="425"/>
              <w:jc w:val="both"/>
              <w:rPr>
                <w:sz w:val="24"/>
                <w:szCs w:val="24"/>
                <w:lang w:val="uk-UA"/>
              </w:rPr>
            </w:pPr>
            <w:r>
              <w:rPr>
                <w:sz w:val="24"/>
                <w:szCs w:val="24"/>
                <w:lang w:val="uk-UA"/>
              </w:rPr>
              <w:t xml:space="preserve">1.3. Інформації та документів, що підтверджують відповідність учасника кваліфікаційним критеріям відповідно до статті 16 Закону (згідно з </w:t>
            </w:r>
            <w:r>
              <w:rPr>
                <w:b/>
                <w:sz w:val="24"/>
                <w:szCs w:val="24"/>
                <w:lang w:val="uk-UA"/>
              </w:rPr>
              <w:t xml:space="preserve">Додатком 3 </w:t>
            </w:r>
            <w:r>
              <w:rPr>
                <w:sz w:val="24"/>
                <w:szCs w:val="24"/>
                <w:lang w:val="uk-UA"/>
              </w:rPr>
              <w:t xml:space="preserve">до тендерної документації);  </w:t>
            </w:r>
          </w:p>
          <w:p>
            <w:pPr>
              <w:pStyle w:val="42"/>
              <w:ind w:left="0" w:right="15" w:firstLine="425"/>
              <w:jc w:val="both"/>
              <w:rPr>
                <w:sz w:val="24"/>
                <w:szCs w:val="24"/>
                <w:lang w:val="uk-UA"/>
              </w:rPr>
            </w:pPr>
            <w:r>
              <w:rPr>
                <w:sz w:val="24"/>
                <w:szCs w:val="24"/>
                <w:lang w:val="uk-UA"/>
              </w:rPr>
              <w:t>1.</w:t>
            </w:r>
            <w:r>
              <w:rPr>
                <w:sz w:val="24"/>
                <w:szCs w:val="24"/>
                <w:lang w:val="ru-RU"/>
              </w:rPr>
              <w:t>4</w:t>
            </w:r>
            <w:r>
              <w:rPr>
                <w:sz w:val="24"/>
                <w:szCs w:val="24"/>
                <w:lang w:val="uk-UA"/>
              </w:rPr>
              <w:t xml:space="preserve">. Інформації щодо відповідності учасника вимогам, визначеним у статті 17 Закону (згідно з </w:t>
            </w:r>
            <w:r>
              <w:rPr>
                <w:b/>
                <w:sz w:val="24"/>
                <w:szCs w:val="24"/>
                <w:lang w:val="uk-UA"/>
              </w:rPr>
              <w:t xml:space="preserve">Додатком 4 </w:t>
            </w:r>
            <w:r>
              <w:rPr>
                <w:sz w:val="24"/>
                <w:szCs w:val="24"/>
                <w:lang w:val="uk-UA"/>
              </w:rPr>
              <w:t xml:space="preserve">до тендерної документації);  </w:t>
            </w:r>
          </w:p>
          <w:p>
            <w:pPr>
              <w:pStyle w:val="42"/>
              <w:ind w:left="0" w:right="15" w:firstLine="425"/>
              <w:jc w:val="both"/>
              <w:rPr>
                <w:sz w:val="24"/>
                <w:szCs w:val="24"/>
                <w:lang w:val="uk-UA"/>
              </w:rPr>
            </w:pPr>
            <w:r>
              <w:rPr>
                <w:sz w:val="24"/>
                <w:szCs w:val="24"/>
                <w:lang w:val="uk-UA"/>
              </w:rPr>
              <w:t>1.</w:t>
            </w:r>
            <w:r>
              <w:rPr>
                <w:sz w:val="24"/>
                <w:szCs w:val="24"/>
                <w:lang w:val="ru-RU"/>
              </w:rPr>
              <w:t>5</w:t>
            </w:r>
            <w:r>
              <w:rPr>
                <w:sz w:val="24"/>
                <w:szCs w:val="24"/>
                <w:lang w:val="uk-UA"/>
              </w:rPr>
              <w:t xml:space="preserve">. Інформації про відповідність тендерної пропозиції учасника технічним, якісним та кількісним характеристикам предмета закупівлі в тому числі технічному завданню (згідно з </w:t>
            </w:r>
            <w:r>
              <w:rPr>
                <w:b/>
                <w:sz w:val="24"/>
                <w:szCs w:val="24"/>
                <w:lang w:val="uk-UA"/>
              </w:rPr>
              <w:t>Додатком 1</w:t>
            </w:r>
            <w:r>
              <w:rPr>
                <w:sz w:val="24"/>
                <w:szCs w:val="24"/>
                <w:lang w:val="uk-UA"/>
              </w:rPr>
              <w:t xml:space="preserve"> </w:t>
            </w:r>
            <w:r>
              <w:rPr>
                <w:b/>
                <w:sz w:val="24"/>
                <w:szCs w:val="24"/>
                <w:lang w:val="uk-UA"/>
              </w:rPr>
              <w:t xml:space="preserve"> </w:t>
            </w:r>
            <w:r>
              <w:rPr>
                <w:sz w:val="24"/>
                <w:szCs w:val="24"/>
                <w:lang w:val="uk-UA"/>
              </w:rPr>
              <w:t xml:space="preserve">до тендерної документації); </w:t>
            </w:r>
          </w:p>
          <w:p>
            <w:pPr>
              <w:pStyle w:val="42"/>
              <w:ind w:left="0" w:right="15" w:firstLine="425"/>
              <w:jc w:val="both"/>
              <w:rPr>
                <w:sz w:val="24"/>
                <w:szCs w:val="24"/>
                <w:lang w:val="uk-UA"/>
              </w:rPr>
            </w:pPr>
            <w:r>
              <w:rPr>
                <w:sz w:val="24"/>
                <w:szCs w:val="24"/>
                <w:lang w:val="uk-UA"/>
              </w:rPr>
              <w:t>1.</w:t>
            </w:r>
            <w:r>
              <w:rPr>
                <w:sz w:val="24"/>
                <w:szCs w:val="24"/>
                <w:lang w:val="ru-RU"/>
              </w:rPr>
              <w:t>6</w:t>
            </w:r>
            <w:r>
              <w:rPr>
                <w:sz w:val="24"/>
                <w:szCs w:val="24"/>
                <w:lang w:val="uk-UA"/>
              </w:rPr>
              <w:t xml:space="preserve">. Листа-згоди учасника з проєктом договору, засвідченого підписом уповноваженої особи, а також підписаний уповноваженою особою учасника проєкт договору (без зазначення ціни (вартості) та без додатків до нього), що викладений </w:t>
            </w:r>
            <w:r>
              <w:rPr>
                <w:b/>
                <w:sz w:val="24"/>
                <w:szCs w:val="24"/>
                <w:lang w:val="uk-UA"/>
              </w:rPr>
              <w:t>в Додатку 6</w:t>
            </w:r>
            <w:r>
              <w:rPr>
                <w:sz w:val="24"/>
                <w:szCs w:val="24"/>
                <w:lang w:val="uk-UA"/>
              </w:rPr>
              <w:t xml:space="preserve"> до Документації;</w:t>
            </w:r>
          </w:p>
          <w:p>
            <w:pPr>
              <w:pStyle w:val="42"/>
              <w:jc w:val="both"/>
              <w:rPr>
                <w:lang w:val="ru-RU"/>
              </w:rPr>
            </w:pPr>
            <w:r>
              <w:rPr>
                <w:sz w:val="24"/>
                <w:szCs w:val="24"/>
                <w:lang w:val="uk-UA"/>
              </w:rPr>
              <w:t>1.7. Листа-гарантії,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r>
              <w:rPr>
                <w:lang w:val="uk-UA"/>
              </w:rPr>
              <w:t xml:space="preserve"> Постанови Кабінету Міністрів України №187 від 3 березня 2022 р. «</w:t>
            </w:r>
            <w:r>
              <w:rPr>
                <w:bCs/>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w:t>
            </w:r>
            <w:r>
              <w:rPr>
                <w:bCs/>
                <w:shd w:val="clear" w:color="auto" w:fill="FFFFFF"/>
                <w:lang w:val="ru-RU"/>
              </w:rPr>
              <w:t>Російської Федерації»</w:t>
            </w:r>
            <w:r>
              <w:rPr>
                <w:lang w:val="ru-RU"/>
              </w:rPr>
              <w:t>, Постанови  КМУ №426 від 9 квітня 2022 р. «</w:t>
            </w:r>
            <w:r>
              <w:rPr>
                <w:bCs/>
                <w:shd w:val="clear" w:color="auto" w:fill="FFFFFF"/>
                <w:lang w:val="ru-RU"/>
              </w:rPr>
              <w:t>Про застосування заборони ввезення товарів з Російської Федерації»</w:t>
            </w:r>
            <w:r>
              <w:rPr>
                <w:lang w:val="ru-RU"/>
              </w:rPr>
              <w:t>;</w:t>
            </w:r>
          </w:p>
          <w:p>
            <w:pPr>
              <w:pStyle w:val="42"/>
              <w:ind w:left="0" w:right="15" w:firstLine="425"/>
              <w:jc w:val="both"/>
              <w:rPr>
                <w:sz w:val="24"/>
                <w:szCs w:val="24"/>
                <w:lang w:val="uk-UA"/>
              </w:rPr>
            </w:pPr>
            <w:r>
              <w:rPr>
                <w:sz w:val="24"/>
                <w:szCs w:val="24"/>
                <w:lang w:val="uk-UA"/>
              </w:rPr>
              <w:t xml:space="preserve">1.9. Іншої інформації, вимоги щодо наявності якої передбачені законодавством згідно </w:t>
            </w:r>
            <w:r>
              <w:rPr>
                <w:b/>
                <w:sz w:val="24"/>
                <w:szCs w:val="24"/>
                <w:lang w:val="uk-UA"/>
              </w:rPr>
              <w:t>з Додатком 5 те</w:t>
            </w:r>
            <w:r>
              <w:rPr>
                <w:sz w:val="24"/>
                <w:szCs w:val="24"/>
                <w:lang w:val="uk-UA"/>
              </w:rPr>
              <w:t>ндерної документації;</w:t>
            </w:r>
          </w:p>
          <w:p>
            <w:pPr>
              <w:pStyle w:val="42"/>
              <w:ind w:left="0" w:right="15" w:firstLine="425"/>
              <w:jc w:val="both"/>
              <w:rPr>
                <w:sz w:val="24"/>
                <w:szCs w:val="24"/>
                <w:lang w:val="uk-UA"/>
              </w:rPr>
            </w:pPr>
            <w:r>
              <w:rPr>
                <w:sz w:val="24"/>
                <w:szCs w:val="24"/>
                <w:lang w:val="uk-UA"/>
              </w:rPr>
              <w:t>1.1</w:t>
            </w:r>
            <w:r>
              <w:rPr>
                <w:sz w:val="24"/>
                <w:szCs w:val="24"/>
                <w:lang w:val="ru-RU"/>
              </w:rPr>
              <w:t>0</w:t>
            </w:r>
            <w:r>
              <w:rPr>
                <w:sz w:val="24"/>
                <w:szCs w:val="24"/>
                <w:lang w:val="uk-UA"/>
              </w:rPr>
              <w:t xml:space="preserve">. Гарантійний лист стосовно того, що вся надана у складі тендерної пропозиції інформація є достовірною. </w:t>
            </w:r>
          </w:p>
          <w:p>
            <w:pPr>
              <w:pStyle w:val="42"/>
              <w:ind w:left="0" w:right="15" w:firstLine="425"/>
              <w:jc w:val="both"/>
              <w:rPr>
                <w:sz w:val="24"/>
                <w:szCs w:val="24"/>
                <w:lang w:val="uk-UA"/>
              </w:rPr>
            </w:pPr>
            <w:r>
              <w:rPr>
                <w:sz w:val="24"/>
                <w:szCs w:val="24"/>
                <w:lang w:val="uk-UA"/>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pPr>
              <w:pStyle w:val="42"/>
              <w:ind w:left="0" w:right="15" w:firstLine="425"/>
              <w:jc w:val="both"/>
              <w:rPr>
                <w:sz w:val="24"/>
                <w:szCs w:val="24"/>
                <w:lang w:val="uk-UA"/>
              </w:rPr>
            </w:pPr>
            <w:r>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pPr>
              <w:pStyle w:val="42"/>
              <w:ind w:left="0" w:right="15" w:firstLine="425"/>
              <w:jc w:val="both"/>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pPr>
              <w:pStyle w:val="42"/>
              <w:ind w:left="0" w:right="15" w:firstLine="425"/>
              <w:jc w:val="both"/>
              <w:rPr>
                <w:sz w:val="24"/>
                <w:szCs w:val="24"/>
                <w:lang w:val="uk-UA"/>
              </w:rPr>
            </w:pPr>
            <w:r>
              <w:rPr>
                <w:sz w:val="24"/>
                <w:szCs w:val="24"/>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 .</w:t>
            </w:r>
          </w:p>
          <w:p>
            <w:pPr>
              <w:pStyle w:val="42"/>
              <w:ind w:left="0" w:right="15" w:firstLine="425"/>
              <w:jc w:val="both"/>
              <w:rPr>
                <w:sz w:val="24"/>
                <w:szCs w:val="24"/>
                <w:lang w:val="uk-UA"/>
              </w:rPr>
            </w:pPr>
            <w:r>
              <w:rPr>
                <w:sz w:val="24"/>
                <w:szCs w:val="24"/>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учасника процедури закупівлі , тобто тендерна пропозиція у будь-якому випадку повинна містити накладений електронний підпис (або кваліфікований електронний підпис) уповноваженої особи учасника процедури закупівлі) (окрім учасників-нерезидентів).</w:t>
            </w:r>
          </w:p>
          <w:p>
            <w:pPr>
              <w:keepNext/>
              <w:keepLines/>
              <w:spacing w:line="240" w:lineRule="auto"/>
              <w:ind w:left="40" w:hanging="20"/>
              <w:jc w:val="both"/>
              <w:rPr>
                <w:rFonts w:ascii="Times New Roman" w:hAnsi="Times New Roman"/>
                <w:sz w:val="24"/>
                <w:szCs w:val="24"/>
              </w:rPr>
            </w:pPr>
            <w:r>
              <w:rPr>
                <w:rFonts w:ascii="Times New Roman" w:hAnsi="Times New Roman"/>
                <w:sz w:val="24"/>
                <w:szCs w:val="24"/>
              </w:rPr>
              <w:t xml:space="preserve">Замовник перевіряє КЕП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20"/>
                <w:rFonts w:ascii="Times New Roman" w:hAnsi="Times New Roman"/>
                <w:sz w:val="24"/>
                <w:szCs w:val="24"/>
              </w:rPr>
              <w:t>https://czo.gov.ua/verify</w:t>
            </w:r>
            <w:r>
              <w:rPr>
                <w:rStyle w:val="20"/>
                <w:rFonts w:ascii="Times New Roman" w:hAnsi="Times New Roman"/>
                <w:sz w:val="24"/>
                <w:szCs w:val="24"/>
              </w:rPr>
              <w:fldChar w:fldCharType="end"/>
            </w:r>
            <w:r>
              <w:rPr>
                <w:rFonts w:ascii="Times New Roman" w:hAnsi="Times New Roman"/>
                <w:sz w:val="24"/>
                <w:szCs w:val="24"/>
              </w:rPr>
              <w:t xml:space="preserve"> .</w:t>
            </w:r>
          </w:p>
          <w:p>
            <w:pPr>
              <w:keepNext/>
              <w:keepLines/>
              <w:spacing w:after="0" w:line="0" w:lineRule="atLeast"/>
              <w:ind w:left="40" w:hanging="20"/>
              <w:jc w:val="both"/>
              <w:rPr>
                <w:rFonts w:ascii="Times New Roman" w:hAnsi="Times New Roman"/>
                <w:sz w:val="24"/>
                <w:szCs w:val="24"/>
              </w:rPr>
            </w:pPr>
            <w:r>
              <w:rPr>
                <w:rFonts w:ascii="Times New Roman" w:hAnsi="Times New Roman"/>
                <w:sz w:val="24"/>
                <w:szCs w:val="24"/>
              </w:rPr>
              <w:t>Учасник для підтвердження повноважень щодо підпису документів, що входять до складу тендерної пропозиції учасника та договору за результатами процедури закупівлі у складі пропозиції має надати 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w:t>
            </w:r>
          </w:p>
          <w:p>
            <w:pPr>
              <w:pStyle w:val="42"/>
              <w:spacing w:line="0" w:lineRule="atLeast"/>
              <w:ind w:left="0" w:right="15" w:firstLine="425"/>
              <w:jc w:val="both"/>
              <w:rPr>
                <w:sz w:val="24"/>
                <w:szCs w:val="24"/>
                <w:lang w:val="uk-UA"/>
              </w:rPr>
            </w:pPr>
            <w:r>
              <w:rPr>
                <w:sz w:val="24"/>
                <w:szCs w:val="24"/>
                <w:lang w:val="uk-UA"/>
              </w:rPr>
              <w:t xml:space="preserve">- у разі, якщо учасником є юридична особа: </w:t>
            </w:r>
          </w:p>
          <w:p>
            <w:pPr>
              <w:pStyle w:val="42"/>
              <w:ind w:left="0" w:right="15" w:firstLine="425"/>
              <w:jc w:val="both"/>
              <w:rPr>
                <w:sz w:val="24"/>
                <w:szCs w:val="24"/>
                <w:lang w:val="uk-UA"/>
              </w:rPr>
            </w:pPr>
            <w:r>
              <w:rPr>
                <w:sz w:val="24"/>
                <w:szCs w:val="24"/>
                <w:lang w:val="uk-UA"/>
              </w:rPr>
              <w:t>1) якщо тендерну пропозицію підписує уповноважена посадова (службова) особа учасника (далі - уповноважена особа) - копію протоколу зборів засновників про призначення директора/президента/голови правління, або випискою (витягом)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pPr>
              <w:pStyle w:val="42"/>
              <w:ind w:left="0" w:right="15" w:firstLine="425"/>
              <w:jc w:val="both"/>
              <w:rPr>
                <w:sz w:val="24"/>
                <w:szCs w:val="24"/>
                <w:lang w:val="ru-RU"/>
              </w:rPr>
            </w:pPr>
            <w:r>
              <w:rPr>
                <w:sz w:val="24"/>
                <w:szCs w:val="24"/>
                <w:lang w:val="uk-UA"/>
              </w:rPr>
              <w:t>- копію паспорту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pPr>
              <w:pStyle w:val="42"/>
              <w:ind w:left="0" w:right="15" w:firstLine="425"/>
              <w:jc w:val="both"/>
              <w:rPr>
                <w:sz w:val="24"/>
                <w:szCs w:val="24"/>
                <w:lang w:val="uk-UA"/>
              </w:rPr>
            </w:pPr>
            <w:r>
              <w:rPr>
                <w:sz w:val="24"/>
                <w:szCs w:val="24"/>
                <w:lang w:val="uk-UA"/>
              </w:rPr>
              <w:t xml:space="preserve">2) якщо тендерну пропозицію підписує представник учасника (далі - уповноважена особа): </w:t>
            </w:r>
          </w:p>
          <w:p>
            <w:pPr>
              <w:pStyle w:val="42"/>
              <w:ind w:left="0" w:right="15" w:firstLine="425"/>
              <w:jc w:val="both"/>
              <w:rPr>
                <w:sz w:val="24"/>
                <w:szCs w:val="24"/>
                <w:lang w:val="uk-UA"/>
              </w:rPr>
            </w:pPr>
            <w:r>
              <w:rPr>
                <w:sz w:val="24"/>
                <w:szCs w:val="24"/>
                <w:lang w:val="uk-UA"/>
              </w:rPr>
              <w:t>- копію довіреності, або доручення разом з наданням документів, що підтверджують право уповноваженої посадової (службової) особи учасника надавати такі повноваження.</w:t>
            </w:r>
          </w:p>
          <w:p>
            <w:pPr>
              <w:pStyle w:val="42"/>
              <w:ind w:left="0" w:right="15" w:firstLine="425"/>
              <w:jc w:val="both"/>
              <w:rPr>
                <w:sz w:val="24"/>
                <w:szCs w:val="24"/>
                <w:lang w:val="uk-UA"/>
              </w:rPr>
            </w:pPr>
            <w:r>
              <w:rPr>
                <w:sz w:val="24"/>
                <w:szCs w:val="24"/>
                <w:lang w:val="uk-UA"/>
              </w:rPr>
              <w:t>- копію паспорту представника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pPr>
              <w:pStyle w:val="42"/>
              <w:ind w:left="0" w:right="15" w:firstLine="425"/>
              <w:jc w:val="both"/>
              <w:rPr>
                <w:sz w:val="24"/>
                <w:szCs w:val="24"/>
                <w:lang w:val="uk-UA"/>
              </w:rPr>
            </w:pPr>
            <w:r>
              <w:rPr>
                <w:sz w:val="24"/>
                <w:szCs w:val="24"/>
                <w:lang w:val="uk-UA"/>
              </w:rPr>
              <w:t>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pPr>
              <w:pStyle w:val="42"/>
              <w:ind w:left="0" w:right="15" w:firstLine="425"/>
              <w:jc w:val="both"/>
              <w:rPr>
                <w:sz w:val="24"/>
                <w:szCs w:val="24"/>
                <w:lang w:val="uk-UA"/>
              </w:rPr>
            </w:pPr>
            <w:r>
              <w:rPr>
                <w:sz w:val="24"/>
                <w:szCs w:val="24"/>
                <w:lang w:val="uk-UA"/>
              </w:rPr>
              <w:t>-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Згідно ч. 2 ст.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відповідно до останньої затвердженої фінансової звітності та/або протокол загальних зборів учасників згідно змісту якого уповноваженій посадовій/службовій особі учасника надається дозвіл укладати договір за </w:t>
            </w:r>
            <w:r>
              <w:rPr>
                <w:rFonts w:ascii="Times New Roman" w:hAnsi="Times New Roman" w:eastAsia="Times New Roman"/>
                <w:b/>
                <w:sz w:val="24"/>
                <w:szCs w:val="24"/>
                <w:u w:val="single"/>
                <w:lang w:eastAsia="ru-RU"/>
              </w:rPr>
              <w:t xml:space="preserve">результатами даної закупівлі. </w:t>
            </w:r>
            <w:r>
              <w:rPr>
                <w:rFonts w:ascii="Times New Roman" w:hAnsi="Times New Roman" w:eastAsia="Times New Roman"/>
                <w:sz w:val="24"/>
                <w:szCs w:val="24"/>
                <w:lang w:eastAsia="ru-RU"/>
              </w:rPr>
              <w:t>Вищезазначені документи повинні міститись у складі тендерної пропозиції.</w:t>
            </w:r>
          </w:p>
          <w:p>
            <w:pPr>
              <w:pStyle w:val="42"/>
              <w:ind w:left="0" w:right="15" w:firstLine="425"/>
              <w:jc w:val="both"/>
              <w:rPr>
                <w:sz w:val="24"/>
                <w:szCs w:val="24"/>
                <w:lang w:val="uk-UA"/>
              </w:rPr>
            </w:pPr>
            <w:r>
              <w:rPr>
                <w:sz w:val="24"/>
                <w:szCs w:val="24"/>
                <w:lang w:val="uk-UA"/>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w:t>
            </w:r>
            <w:r>
              <w:rPr>
                <w:color w:val="FF0000"/>
                <w:sz w:val="24"/>
                <w:szCs w:val="24"/>
                <w:lang w:val="uk-UA"/>
              </w:rPr>
              <w:t xml:space="preserve"> </w:t>
            </w:r>
            <w:r>
              <w:rPr>
                <w:sz w:val="24"/>
                <w:szCs w:val="24"/>
                <w:lang w:val="uk-UA"/>
              </w:rPr>
              <w:t>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42"/>
              <w:ind w:left="0" w:right="15" w:firstLine="425"/>
              <w:jc w:val="both"/>
              <w:rPr>
                <w:sz w:val="24"/>
                <w:szCs w:val="24"/>
                <w:lang w:val="uk-UA"/>
              </w:rPr>
            </w:pPr>
            <w:r>
              <w:rPr>
                <w:sz w:val="24"/>
                <w:szCs w:val="24"/>
                <w:lang w:val="uk-UA"/>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підпис уповноваженої особи учасника.</w:t>
            </w:r>
          </w:p>
          <w:p>
            <w:pPr>
              <w:pStyle w:val="42"/>
              <w:ind w:left="0" w:right="15" w:firstLine="425"/>
              <w:jc w:val="both"/>
              <w:rPr>
                <w:sz w:val="24"/>
                <w:szCs w:val="24"/>
                <w:lang w:val="uk-UA"/>
              </w:rPr>
            </w:pPr>
            <w:r>
              <w:rPr>
                <w:sz w:val="24"/>
                <w:szCs w:val="24"/>
                <w:lang w:val="uk-UA"/>
              </w:rPr>
              <w:t xml:space="preserve">Якщо замовником вимагається завантаження до електронної системи закупівель: </w:t>
            </w:r>
          </w:p>
          <w:p>
            <w:pPr>
              <w:pStyle w:val="42"/>
              <w:ind w:left="0" w:right="15" w:firstLine="425"/>
              <w:jc w:val="both"/>
              <w:rPr>
                <w:sz w:val="24"/>
                <w:szCs w:val="24"/>
                <w:lang w:val="uk-UA"/>
              </w:rPr>
            </w:pPr>
            <w:r>
              <w:rPr>
                <w:sz w:val="24"/>
                <w:szCs w:val="24"/>
                <w:lang w:val="uk-UA"/>
              </w:rPr>
              <w:t>1)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ПІБ, а тільки потім робиться кольорова сканкопія документу. Фізичними особами та фізичними- особами підприємцями вимагається завіряти підписом уповноваженої особи учасника з зазначенням посади, ПІБ.</w:t>
            </w:r>
          </w:p>
          <w:p>
            <w:pPr>
              <w:pStyle w:val="42"/>
              <w:ind w:left="0" w:right="15" w:firstLine="425"/>
              <w:jc w:val="both"/>
              <w:rPr>
                <w:sz w:val="24"/>
                <w:szCs w:val="24"/>
                <w:lang w:val="uk-UA"/>
              </w:rPr>
            </w:pPr>
            <w:r>
              <w:rPr>
                <w:sz w:val="24"/>
                <w:szCs w:val="24"/>
                <w:lang w:val="uk-UA"/>
              </w:rPr>
              <w:t>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w:t>
            </w:r>
          </w:p>
          <w:p>
            <w:pPr>
              <w:pStyle w:val="42"/>
              <w:ind w:left="0" w:right="15" w:firstLine="425"/>
              <w:jc w:val="both"/>
              <w:rPr>
                <w:sz w:val="24"/>
                <w:szCs w:val="24"/>
                <w:lang w:val="uk-UA"/>
              </w:rPr>
            </w:pPr>
            <w:r>
              <w:rPr>
                <w:sz w:val="24"/>
                <w:szCs w:val="24"/>
                <w:lang w:val="uk-UA"/>
              </w:rPr>
              <w:t>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pPr>
              <w:pStyle w:val="42"/>
              <w:ind w:left="0" w:right="15" w:firstLine="425"/>
              <w:jc w:val="both"/>
              <w:rPr>
                <w:sz w:val="24"/>
                <w:szCs w:val="24"/>
                <w:lang w:val="uk-UA"/>
              </w:rPr>
            </w:pPr>
            <w:r>
              <w:rPr>
                <w:sz w:val="24"/>
                <w:szCs w:val="24"/>
                <w:lang w:val="uk-UA"/>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pPr>
              <w:pStyle w:val="42"/>
              <w:ind w:left="0" w:right="15" w:firstLine="425"/>
              <w:jc w:val="both"/>
              <w:rPr>
                <w:sz w:val="24"/>
                <w:szCs w:val="24"/>
                <w:lang w:val="uk-UA"/>
              </w:rPr>
            </w:pPr>
            <w:r>
              <w:rPr>
                <w:sz w:val="24"/>
                <w:szCs w:val="24"/>
                <w:lang w:val="uk-UA"/>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 Документації.</w:t>
            </w:r>
          </w:p>
          <w:p>
            <w:pPr>
              <w:pStyle w:val="42"/>
              <w:ind w:left="0" w:right="15" w:firstLine="425"/>
              <w:jc w:val="both"/>
              <w:rPr>
                <w:sz w:val="24"/>
                <w:szCs w:val="24"/>
                <w:lang w:val="uk-UA"/>
              </w:rPr>
            </w:pPr>
            <w:r>
              <w:rPr>
                <w:sz w:val="24"/>
                <w:szCs w:val="24"/>
                <w:lang w:val="uk-UA"/>
              </w:rPr>
              <w:t>Кожен учасник має право подати тільки одну тендерну пропозицію.</w:t>
            </w:r>
          </w:p>
          <w:p>
            <w:pPr>
              <w:pStyle w:val="42"/>
              <w:ind w:left="0" w:right="15" w:firstLine="425"/>
              <w:jc w:val="both"/>
              <w:rPr>
                <w:sz w:val="24"/>
                <w:szCs w:val="24"/>
                <w:lang w:val="uk-UA"/>
              </w:rPr>
            </w:pPr>
            <w:r>
              <w:rPr>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tcBorders>
              <w:bottom w:val="single" w:color="auto" w:sz="4" w:space="0"/>
            </w:tcBorders>
            <w:shd w:val="clear" w:color="auto" w:fill="auto"/>
          </w:tcPr>
          <w:p>
            <w:pPr>
              <w:widowControl w:val="0"/>
              <w:spacing w:after="0" w:line="0" w:lineRule="atLeast"/>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w:t>
            </w:r>
          </w:p>
          <w:p>
            <w:pPr>
              <w:widowControl w:val="0"/>
              <w:spacing w:after="0" w:line="0" w:lineRule="atLeast"/>
              <w:contextualSpacing/>
              <w:jc w:val="both"/>
              <w:rPr>
                <w:rFonts w:ascii="Times New Roman" w:hAnsi="Times New Roman"/>
                <w:b/>
                <w:sz w:val="24"/>
                <w:szCs w:val="24"/>
                <w:lang w:eastAsia="uk-UA"/>
              </w:rPr>
            </w:pPr>
          </w:p>
        </w:tc>
        <w:tc>
          <w:tcPr>
            <w:tcW w:w="6273" w:type="dxa"/>
            <w:gridSpan w:val="2"/>
            <w:shd w:val="clear" w:color="auto" w:fill="auto"/>
          </w:tcPr>
          <w:p>
            <w:pPr>
              <w:spacing w:after="0" w:line="0" w:lineRule="atLeast"/>
              <w:jc w:val="both"/>
              <w:rPr>
                <w:rFonts w:ascii="Times New Roman" w:hAnsi="Times New Roman"/>
                <w:i/>
                <w:sz w:val="24"/>
                <w:szCs w:val="24"/>
                <w:lang w:eastAsia="uk-UA"/>
              </w:rPr>
            </w:pPr>
            <w:r>
              <w:rPr>
                <w:rFonts w:ascii="Times New Roman" w:hAnsi="Times New Roman" w:eastAsia="Times New Roman"/>
                <w:spacing w:val="-6"/>
                <w:sz w:val="24"/>
                <w:szCs w:val="24"/>
                <w:lang w:eastAsia="zh-CN"/>
              </w:rPr>
              <w:t>Вид забезпечення тендерної пропозиції банківська гарантія ( електронна), міститься в окремо завантаженому файлі (Додаток 1/1 зі змінами).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tcBorders>
              <w:top w:val="single" w:color="auto" w:sz="4" w:space="0"/>
            </w:tcBorders>
            <w:shd w:val="clear" w:color="auto" w:fill="auto"/>
          </w:tcPr>
          <w:p>
            <w:pPr>
              <w:pStyle w:val="28"/>
              <w:widowControl w:val="0"/>
              <w:spacing w:line="0" w:lineRule="atLeast"/>
              <w:ind w:right="113"/>
              <w:contextualSpacing/>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73" w:type="dxa"/>
            <w:gridSpan w:val="2"/>
            <w:shd w:val="clear" w:color="auto" w:fill="auto"/>
          </w:tcPr>
          <w:p>
            <w:pPr>
              <w:widowControl w:val="0"/>
              <w:spacing w:after="0" w:line="0" w:lineRule="atLeast"/>
              <w:ind w:left="34" w:right="113" w:hanging="34"/>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pPr>
              <w:shd w:val="clear" w:color="auto" w:fill="FFFFFF"/>
              <w:spacing w:after="0" w:line="0" w:lineRule="atLeast"/>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bookmarkStart w:id="1" w:name="n1456"/>
            <w:bookmarkEnd w:id="1"/>
            <w:r>
              <w:rPr>
                <w:rFonts w:ascii="Times New Roman" w:hAnsi="Times New Roman" w:eastAsia="Times New Roman"/>
                <w:sz w:val="24"/>
                <w:szCs w:val="24"/>
                <w:lang w:eastAsia="ru-RU"/>
              </w:rPr>
              <w:t xml:space="preserve"> 2) укладення договору про закупівлю з учасником, який став переможцем процедури закупівлі;</w:t>
            </w:r>
            <w:bookmarkStart w:id="2" w:name="n1457"/>
            <w:bookmarkEnd w:id="2"/>
            <w:r>
              <w:rPr>
                <w:rFonts w:ascii="Times New Roman" w:hAnsi="Times New Roman" w:eastAsia="Times New Roman"/>
                <w:sz w:val="24"/>
                <w:szCs w:val="24"/>
                <w:lang w:eastAsia="ru-RU"/>
              </w:rPr>
              <w:t xml:space="preserve"> 3) відкликання тендерної пропозиції до закінчення строку її подання;</w:t>
            </w:r>
            <w:bookmarkStart w:id="3" w:name="n1458"/>
            <w:bookmarkEnd w:id="3"/>
            <w:r>
              <w:rPr>
                <w:rFonts w:ascii="Times New Roman" w:hAnsi="Times New Roman" w:eastAsia="Times New Roman"/>
                <w:sz w:val="24"/>
                <w:szCs w:val="24"/>
                <w:lang w:eastAsia="ru-RU"/>
              </w:rPr>
              <w:t xml:space="preserve"> 4) закінчення тендеру в разі неукладення договору про закупівлю з жодним з учасників, які подали тендерні пропозиції.</w:t>
            </w:r>
            <w:bookmarkStart w:id="4" w:name="n1459"/>
            <w:bookmarkEnd w:id="4"/>
            <w:r>
              <w:rPr>
                <w:rFonts w:ascii="Times New Roman" w:hAnsi="Times New Roman" w:eastAsia="Times New Roman"/>
                <w:sz w:val="24"/>
                <w:szCs w:val="24"/>
                <w:lang w:eastAsia="ru-RU"/>
              </w:rPr>
              <w:t xml:space="preserve">                                 </w:t>
            </w:r>
          </w:p>
          <w:p>
            <w:pPr>
              <w:shd w:val="clear" w:color="auto" w:fill="FFFFFF"/>
              <w:spacing w:after="0" w:line="0" w:lineRule="atLeast"/>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pPr>
              <w:shd w:val="clear" w:color="auto" w:fill="FFFFFF"/>
              <w:spacing w:after="0" w:line="0" w:lineRule="atLeast"/>
              <w:jc w:val="both"/>
              <w:rPr>
                <w:rFonts w:ascii="Times New Roman" w:hAnsi="Times New Roman"/>
                <w:b/>
                <w:sz w:val="24"/>
                <w:szCs w:val="24"/>
                <w:lang w:eastAsia="uk-UA"/>
              </w:rPr>
            </w:pPr>
            <w:r>
              <w:rPr>
                <w:rFonts w:ascii="Times New Roman" w:hAnsi="Times New Roman"/>
                <w:b/>
                <w:sz w:val="24"/>
                <w:szCs w:val="24"/>
                <w:lang w:val="ru-RU" w:eastAsia="uk-UA"/>
              </w:rPr>
              <w:t>З</w:t>
            </w:r>
            <w:r>
              <w:rPr>
                <w:rFonts w:ascii="Times New Roman" w:hAnsi="Times New Roman"/>
                <w:b/>
                <w:sz w:val="24"/>
                <w:szCs w:val="24"/>
                <w:lang w:eastAsia="uk-UA"/>
              </w:rPr>
              <w:t>астереження щодо випадків,</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коли забезпечення  тендерної пропозиції не повертається учаснику: </w:t>
            </w:r>
          </w:p>
          <w:p>
            <w:pPr>
              <w:shd w:val="clear" w:color="auto" w:fill="FFFFFF"/>
              <w:spacing w:after="0" w:line="0" w:lineRule="atLeast"/>
              <w:ind w:firstLine="45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5" w:name="n1451"/>
            <w:bookmarkEnd w:id="5"/>
          </w:p>
          <w:p>
            <w:pPr>
              <w:shd w:val="clear" w:color="auto" w:fill="FFFFFF"/>
              <w:spacing w:after="0" w:line="0" w:lineRule="atLeast"/>
              <w:ind w:firstLine="450"/>
              <w:jc w:val="both"/>
              <w:rPr>
                <w:rFonts w:ascii="Times New Roman" w:hAnsi="Times New Roman" w:eastAsia="Times New Roman"/>
                <w:sz w:val="24"/>
                <w:szCs w:val="24"/>
                <w:lang w:eastAsia="ru-RU"/>
              </w:rPr>
            </w:pPr>
            <w:r>
              <w:rPr>
                <w:rFonts w:ascii="Times New Roman" w:hAnsi="Times New Roman" w:eastAsia="Times New Roman"/>
                <w:sz w:val="24"/>
                <w:szCs w:val="24"/>
                <w:lang w:val="ru-RU" w:eastAsia="ru-RU"/>
              </w:rPr>
              <w:t>2) непідписання договору про закупівлю учасником, який став переможцем тендеру;</w:t>
            </w:r>
          </w:p>
          <w:p>
            <w:pPr>
              <w:shd w:val="clear" w:color="auto" w:fill="FFFFFF"/>
              <w:spacing w:after="0" w:line="0" w:lineRule="atLeast"/>
              <w:ind w:firstLine="450"/>
              <w:jc w:val="both"/>
              <w:rPr>
                <w:rFonts w:ascii="Times New Roman" w:hAnsi="Times New Roman" w:eastAsia="Times New Roman"/>
                <w:sz w:val="24"/>
                <w:szCs w:val="24"/>
                <w:lang w:val="ru-RU" w:eastAsia="ru-RU"/>
              </w:rPr>
            </w:pPr>
            <w:bookmarkStart w:id="6" w:name="n1452"/>
            <w:bookmarkEnd w:id="6"/>
            <w:r>
              <w:rPr>
                <w:rFonts w:ascii="Times New Roman" w:hAnsi="Times New Roman" w:eastAsia="Times New Roman"/>
                <w:sz w:val="24"/>
                <w:szCs w:val="24"/>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pPr>
              <w:shd w:val="clear" w:color="auto" w:fill="FFFFFF"/>
              <w:spacing w:after="0" w:line="0" w:lineRule="atLeast"/>
              <w:ind w:firstLine="450"/>
              <w:jc w:val="both"/>
              <w:rPr>
                <w:rFonts w:ascii="Times New Roman" w:hAnsi="Times New Roman" w:eastAsia="Times New Roman"/>
                <w:sz w:val="24"/>
                <w:szCs w:val="24"/>
                <w:lang w:val="ru-RU" w:eastAsia="ru-RU"/>
              </w:rPr>
            </w:pPr>
            <w:bookmarkStart w:id="7" w:name="n1453"/>
            <w:bookmarkEnd w:id="7"/>
            <w:r>
              <w:rPr>
                <w:rFonts w:ascii="Times New Roman" w:hAnsi="Times New Roman" w:eastAsia="Times New Roman"/>
                <w:sz w:val="24"/>
                <w:szCs w:val="24"/>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8" w:name="n1454"/>
            <w:bookmarkEnd w:id="8"/>
          </w:p>
          <w:p>
            <w:pPr>
              <w:shd w:val="clear" w:color="auto" w:fill="FFFFFF"/>
              <w:spacing w:after="0" w:line="0" w:lineRule="atLeast"/>
              <w:ind w:firstLine="450"/>
              <w:jc w:val="both"/>
              <w:rPr>
                <w:rFonts w:ascii="Times New Roman" w:hAnsi="Times New Roman" w:eastAsia="Times New Roman"/>
                <w:sz w:val="24"/>
                <w:szCs w:val="24"/>
                <w:lang w:val="ru-RU" w:eastAsia="ru-RU"/>
              </w:rPr>
            </w:pPr>
            <w:r>
              <w:rPr>
                <w:rFonts w:ascii="Times New Roman" w:hAnsi="Times New Roman" w:eastAsia="Times New Roman"/>
                <w:sz w:val="24"/>
                <w:szCs w:val="24"/>
                <w:lang w:val="ru-RU" w:eastAsia="ru-RU"/>
              </w:rPr>
              <w:t xml:space="preserve"> </w:t>
            </w:r>
            <w:r>
              <w:rPr>
                <w:rFonts w:ascii="Times New Roman" w:hAnsi="Times New Roman"/>
                <w:sz w:val="24"/>
                <w:szCs w:val="24"/>
                <w:lang w:eastAsia="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pPr>
              <w:pStyle w:val="28"/>
              <w:widowControl w:val="0"/>
              <w:ind w:right="113"/>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273" w:type="dxa"/>
            <w:gridSpan w:val="2"/>
            <w:shd w:val="clear" w:color="auto" w:fill="auto"/>
          </w:tcPr>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Учасник має право:</w:t>
            </w:r>
          </w:p>
          <w:p>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5</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eastAsia="Times New Roman"/>
                <w:b/>
                <w:sz w:val="24"/>
                <w:szCs w:val="24"/>
              </w:rPr>
              <w:t>Кваліфікаційні критерії до учасників та вимоги, установлені статтею 17 Закону</w:t>
            </w:r>
          </w:p>
        </w:tc>
        <w:tc>
          <w:tcPr>
            <w:tcW w:w="6273" w:type="dxa"/>
            <w:gridSpan w:val="2"/>
            <w:shd w:val="clear" w:color="auto" w:fill="auto"/>
          </w:tcPr>
          <w:p>
            <w:pPr>
              <w:pStyle w:val="22"/>
              <w:tabs>
                <w:tab w:val="left" w:pos="6732"/>
              </w:tabs>
              <w:spacing w:before="0" w:beforeAutospacing="0" w:after="0" w:afterAutospacing="0"/>
              <w:ind w:left="72" w:right="113" w:firstLine="487"/>
              <w:jc w:val="both"/>
              <w:rPr>
                <w:lang w:val="uk-UA"/>
              </w:rPr>
            </w:pPr>
            <w:r>
              <w:rPr>
                <w:lang w:val="uk-UA"/>
              </w:rPr>
              <w:t xml:space="preserve">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зазначену у </w:t>
            </w:r>
            <w:r>
              <w:rPr>
                <w:b/>
                <w:lang w:val="uk-UA"/>
              </w:rPr>
              <w:t>Додатку 3</w:t>
            </w:r>
            <w:r>
              <w:rPr>
                <w:spacing w:val="-6"/>
                <w:lang w:val="uk-UA" w:eastAsia="zh-CN"/>
              </w:rPr>
              <w:t xml:space="preserve"> зі змінами</w:t>
            </w:r>
            <w:r>
              <w:rPr>
                <w:b/>
                <w:lang w:val="uk-UA"/>
              </w:rPr>
              <w:t xml:space="preserve">  </w:t>
            </w:r>
            <w:r>
              <w:rPr>
                <w:lang w:val="uk-UA"/>
              </w:rPr>
              <w:t>до Документації.</w:t>
            </w:r>
          </w:p>
          <w:p>
            <w:pPr>
              <w:pStyle w:val="22"/>
              <w:tabs>
                <w:tab w:val="left" w:pos="6732"/>
              </w:tabs>
              <w:spacing w:before="0" w:beforeAutospacing="0" w:after="0" w:afterAutospacing="0"/>
              <w:ind w:left="72" w:right="113" w:firstLine="487"/>
              <w:jc w:val="both"/>
              <w:rPr>
                <w:lang w:val="uk-UA"/>
              </w:rPr>
            </w:pPr>
            <w:r>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pPr>
              <w:pStyle w:val="22"/>
              <w:tabs>
                <w:tab w:val="left" w:pos="6732"/>
              </w:tabs>
              <w:spacing w:before="0" w:beforeAutospacing="0" w:after="0" w:afterAutospacing="0"/>
              <w:ind w:left="72" w:right="113" w:firstLine="487"/>
              <w:jc w:val="both"/>
              <w:rPr>
                <w:lang w:val="uk-UA"/>
              </w:rPr>
            </w:pPr>
            <w:r>
              <w:rPr>
                <w:lang w:val="uk-UA"/>
              </w:rPr>
              <w:t xml:space="preserve">Учасники торгів – нерезиденти для виконання вимог щодо подання документів, передбачених </w:t>
            </w:r>
            <w:r>
              <w:rPr>
                <w:b/>
                <w:lang w:val="uk-UA"/>
              </w:rPr>
              <w:t>Додатком 3</w:t>
            </w:r>
            <w:r>
              <w:rPr>
                <w:spacing w:val="-6"/>
                <w:lang w:eastAsia="zh-CN"/>
              </w:rPr>
              <w:t xml:space="preserve"> зі змінами</w:t>
            </w:r>
            <w:r>
              <w:rPr>
                <w:lang w:val="uk-UA"/>
              </w:rPr>
              <w:t xml:space="preserve"> до Документації, подають у складі своєї пропозиції документи, що передбачені законодавством країн, де вони зареєстровані, з перекладом відповідно до умов Тендерної документації, з відповідними поясненнями:</w:t>
            </w:r>
          </w:p>
          <w:p>
            <w:pPr>
              <w:pStyle w:val="22"/>
              <w:tabs>
                <w:tab w:val="left" w:pos="6732"/>
              </w:tabs>
              <w:spacing w:before="0" w:beforeAutospacing="0" w:after="0" w:afterAutospacing="0"/>
              <w:ind w:left="72" w:right="113" w:firstLine="487"/>
              <w:jc w:val="both"/>
              <w:rPr>
                <w:lang w:val="uk-UA"/>
              </w:rPr>
            </w:pPr>
            <w:r>
              <w:rPr>
                <w:lang w:val="uk-UA"/>
              </w:rPr>
              <w:t>- у разі подання аналогу документу або якщо законодавством держави, де зареєстрований учасник –нерезидент, не передбачено надання відповідних документів або їх аналогів учасник – нерезидент повинен надати лист – пояснення.</w:t>
            </w:r>
          </w:p>
          <w:p>
            <w:pPr>
              <w:pStyle w:val="22"/>
              <w:tabs>
                <w:tab w:val="left" w:pos="6732"/>
              </w:tabs>
              <w:spacing w:before="0" w:beforeAutospacing="0" w:after="0" w:afterAutospacing="0"/>
              <w:ind w:left="72" w:right="113" w:firstLine="487"/>
              <w:jc w:val="both"/>
              <w:rPr>
                <w:lang w:val="uk-UA"/>
              </w:rPr>
            </w:pPr>
            <w:r>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pPr>
              <w:pStyle w:val="22"/>
              <w:tabs>
                <w:tab w:val="left" w:pos="6732"/>
              </w:tabs>
              <w:spacing w:before="0" w:beforeAutospacing="0" w:after="0" w:afterAutospacing="0"/>
              <w:ind w:left="72" w:right="113" w:firstLine="487"/>
              <w:jc w:val="both"/>
              <w:rPr>
                <w:lang w:val="uk-UA"/>
              </w:rPr>
            </w:pPr>
            <w:r>
              <w:rPr>
                <w:lang w:val="uk-UA"/>
              </w:rPr>
              <w:t xml:space="preserve">Інформацію про відсутність підстав, визначених у частинах першій і другій статті 17 Закону учасник подає відповідно до </w:t>
            </w:r>
            <w:r>
              <w:rPr>
                <w:b/>
                <w:lang w:val="uk-UA"/>
              </w:rPr>
              <w:t xml:space="preserve">Додатку 4 </w:t>
            </w:r>
            <w:r>
              <w:rPr>
                <w:lang w:val="uk-UA"/>
              </w:rPr>
              <w:t xml:space="preserve"> </w:t>
            </w:r>
            <w:r>
              <w:rPr>
                <w:b/>
                <w:lang w:val="uk-UA"/>
              </w:rPr>
              <w:t xml:space="preserve"> </w:t>
            </w:r>
            <w:r>
              <w:rPr>
                <w:spacing w:val="-6"/>
                <w:lang w:eastAsia="zh-CN"/>
              </w:rPr>
              <w:t>зі змінами</w:t>
            </w:r>
            <w:r>
              <w:rPr>
                <w:lang w:val="uk-UA"/>
              </w:rPr>
              <w:t xml:space="preserve"> до Документації.</w:t>
            </w:r>
          </w:p>
          <w:p>
            <w:pPr>
              <w:pStyle w:val="22"/>
              <w:tabs>
                <w:tab w:val="left" w:pos="6732"/>
              </w:tabs>
              <w:spacing w:before="0" w:beforeAutospacing="0" w:after="0" w:afterAutospacing="0"/>
              <w:ind w:left="72" w:right="113" w:firstLine="487"/>
              <w:jc w:val="both"/>
              <w:rPr>
                <w:lang w:val="uk-UA"/>
              </w:rPr>
            </w:pPr>
            <w:r>
              <w:rPr>
                <w:lang w:val="uk-UA"/>
              </w:rPr>
              <w:t>Замовник не вимагає від учасників документів, що підтверджують відсутність підстав, визначених пунктами 1 і 7 частини 1 статті 17.</w:t>
            </w:r>
          </w:p>
          <w:p>
            <w:pPr>
              <w:pStyle w:val="22"/>
              <w:tabs>
                <w:tab w:val="left" w:pos="6732"/>
              </w:tabs>
              <w:spacing w:before="0" w:beforeAutospacing="0" w:after="0" w:afterAutospacing="0"/>
              <w:ind w:right="113" w:firstLine="535"/>
              <w:jc w:val="both"/>
              <w:rPr>
                <w:lang w:val="uk-UA"/>
              </w:rPr>
            </w:pPr>
            <w:r>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22"/>
              <w:tabs>
                <w:tab w:val="left" w:pos="6732"/>
              </w:tabs>
              <w:spacing w:before="0" w:beforeAutospacing="0" w:after="0" w:afterAutospacing="0"/>
              <w:ind w:right="113" w:firstLine="535"/>
              <w:jc w:val="both"/>
              <w:rPr>
                <w:lang w:val="uk-UA"/>
              </w:rPr>
            </w:pPr>
            <w:r>
              <w:rPr>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2 статті 17, а саме, документи зазначені у </w:t>
            </w:r>
            <w:r>
              <w:rPr>
                <w:b/>
                <w:lang w:val="uk-UA"/>
              </w:rPr>
              <w:t>Додатку 7</w:t>
            </w:r>
            <w:r>
              <w:rPr>
                <w:spacing w:val="-6"/>
                <w:lang w:eastAsia="zh-CN"/>
              </w:rPr>
              <w:t xml:space="preserve"> зі змінами</w:t>
            </w:r>
            <w:r>
              <w:rPr>
                <w:b/>
                <w:lang w:val="uk-UA"/>
              </w:rPr>
              <w:t xml:space="preserve">  </w:t>
            </w:r>
            <w:r>
              <w:rPr>
                <w:lang w:val="uk-UA"/>
              </w:rPr>
              <w:t>до Документації.</w:t>
            </w:r>
          </w:p>
          <w:p>
            <w:pPr>
              <w:pStyle w:val="22"/>
              <w:tabs>
                <w:tab w:val="left" w:pos="6732"/>
              </w:tabs>
              <w:spacing w:before="0" w:beforeAutospacing="0" w:after="0" w:afterAutospacing="0"/>
              <w:ind w:right="113" w:firstLine="535"/>
              <w:jc w:val="both"/>
              <w:rPr>
                <w:lang w:val="uk-UA"/>
              </w:rPr>
            </w:pPr>
            <w:r>
              <w:rPr>
                <w:lang w:val="uk-UA"/>
              </w:rPr>
              <w:t>Учасники повинні надати в складі пропозиції лист у довільній формі, яким учасник гарантує, у разі визнання його переможцем, оприлюднити вищезазначені документи в електронній системі закупівель у строк, що не перевищує десяти днів з дати оприлюднення в електронній системі закупівель повідомлення про намір укласти договір про закупівлю.</w:t>
            </w:r>
          </w:p>
          <w:p>
            <w:pPr>
              <w:pStyle w:val="22"/>
              <w:tabs>
                <w:tab w:val="left" w:pos="6732"/>
              </w:tabs>
              <w:spacing w:before="0" w:beforeAutospacing="0" w:after="0" w:afterAutospacing="0"/>
              <w:ind w:right="113" w:firstLine="535"/>
              <w:jc w:val="both"/>
              <w:rPr>
                <w:lang w:val="uk-UA"/>
              </w:rPr>
            </w:pPr>
            <w:r>
              <w:rPr>
                <w:lang w:val="uk-UA"/>
              </w:rPr>
              <w:t>Замовник може не відхиляти тендерну пропозицію учасника згідно пункту 13 частини 1 статті 17, якщо такий учасник здійснив заходи щодо розстрочення і відстрочення заборгованості у порядку та на умовах, визначених законодавством країни реєстрації такого учасника.</w:t>
            </w:r>
          </w:p>
          <w:p>
            <w:pPr>
              <w:pStyle w:val="22"/>
              <w:tabs>
                <w:tab w:val="left" w:pos="6732"/>
              </w:tabs>
              <w:spacing w:before="0" w:beforeAutospacing="0" w:after="0" w:afterAutospacing="0"/>
              <w:ind w:right="113" w:firstLine="535"/>
              <w:jc w:val="both"/>
              <w:rPr>
                <w:lang w:val="uk-UA"/>
              </w:rPr>
            </w:pPr>
            <w:r>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22"/>
              <w:tabs>
                <w:tab w:val="left" w:pos="6732"/>
              </w:tabs>
              <w:spacing w:before="0" w:beforeAutospacing="0" w:after="0" w:afterAutospacing="0"/>
              <w:ind w:right="113" w:firstLine="535"/>
              <w:jc w:val="both"/>
              <w:rPr>
                <w:lang w:val="uk-UA"/>
              </w:rPr>
            </w:pPr>
            <w:r>
              <w:rPr>
                <w:lang w:val="uk-UA"/>
              </w:rPr>
              <w:t>Учасник процедури закупівлі, що перебуває в обставинах, зазначених у частині 2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22"/>
              <w:tabs>
                <w:tab w:val="left" w:pos="6732"/>
              </w:tabs>
              <w:spacing w:before="0" w:beforeAutospacing="0" w:after="0" w:afterAutospacing="0"/>
              <w:ind w:right="113"/>
              <w:jc w:val="both"/>
              <w:rPr>
                <w:lang w:val="uk-UA"/>
              </w:rPr>
            </w:pPr>
            <w:r>
              <w:rPr>
                <w:lang w:val="uk-UA"/>
              </w:rPr>
              <w:t>Якщо замовник вважає таке підтвердження достатнім, учаснику не може бути відмовлено в участі в процедурі закупівлі.</w:t>
            </w:r>
          </w:p>
          <w:p>
            <w:pPr>
              <w:pStyle w:val="22"/>
              <w:tabs>
                <w:tab w:val="left" w:pos="6732"/>
              </w:tabs>
              <w:spacing w:before="0" w:beforeAutospacing="0" w:after="0" w:afterAutospacing="0"/>
              <w:ind w:right="113"/>
              <w:jc w:val="both"/>
              <w:rPr>
                <w:lang w:val="uk-UA"/>
              </w:rPr>
            </w:pPr>
            <w:r>
              <w:rPr>
                <w:lang w:val="uk-UA"/>
              </w:rPr>
              <w:t>У разі подання тендерної пропозиції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273" w:type="dxa"/>
            <w:gridSpan w:val="2"/>
            <w:shd w:val="clear" w:color="auto" w:fill="auto"/>
          </w:tcPr>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Інформація про необхідні технічні, якісні, кількісні та інші характеристики предмета закупівлі зазначені у Додатку 1 </w:t>
            </w:r>
            <w:r>
              <w:rPr>
                <w:rFonts w:ascii="Times New Roman" w:hAnsi="Times New Roman" w:eastAsia="Times New Roman"/>
                <w:spacing w:val="-6"/>
                <w:sz w:val="24"/>
                <w:szCs w:val="24"/>
                <w:lang w:eastAsia="zh-CN"/>
              </w:rPr>
              <w:t>зі змінами</w:t>
            </w:r>
            <w:r>
              <w:rPr>
                <w:rFonts w:ascii="Times New Roman" w:hAnsi="Times New Roman"/>
                <w:sz w:val="24"/>
                <w:szCs w:val="24"/>
                <w:lang w:eastAsia="uk-UA"/>
              </w:rPr>
              <w:t xml:space="preserve"> цієї тендерної документації.</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Технічні характеристики еквіваленту не повинні бути гіршими. У випадку надання учасником еквіваленту, він має надати окремо порівняльну таблицю характеристик запропонованого товару з характеристиками товару, який вимагається Замовником.</w:t>
            </w:r>
          </w:p>
          <w:p>
            <w:pPr>
              <w:widowControl w:val="0"/>
              <w:spacing w:after="0"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eastAsia="uk-UA"/>
              </w:rPr>
              <w:t>Тендерна пропозиція, що не відповідає зазначеним вимогам, підлягає відхиленню. Невідповідність запропонованих Учасником товарів встановленим технічним вимогам (Додаток 1</w:t>
            </w:r>
            <w:r>
              <w:rPr>
                <w:rFonts w:ascii="Times New Roman" w:hAnsi="Times New Roman" w:eastAsia="Times New Roman"/>
                <w:spacing w:val="-6"/>
                <w:sz w:val="24"/>
                <w:szCs w:val="24"/>
                <w:lang w:eastAsia="zh-CN"/>
              </w:rPr>
              <w:t xml:space="preserve"> зі змінами</w:t>
            </w:r>
            <w:r>
              <w:rPr>
                <w:rFonts w:ascii="Times New Roman" w:hAnsi="Times New Roman"/>
                <w:sz w:val="24"/>
                <w:szCs w:val="24"/>
                <w:lang w:eastAsia="uk-UA"/>
              </w:rPr>
              <w:t xml:space="preserve"> до Документації) розцінюється як невідповідність пропозиції умовам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Інформація про субпідрядника </w:t>
            </w:r>
          </w:p>
        </w:tc>
        <w:tc>
          <w:tcPr>
            <w:tcW w:w="6273" w:type="dxa"/>
            <w:gridSpan w:val="2"/>
            <w:shd w:val="clear" w:color="auto" w:fill="auto"/>
          </w:tcPr>
          <w:p>
            <w:pPr>
              <w:pStyle w:val="22"/>
              <w:spacing w:before="0" w:beforeAutospacing="0" w:after="0" w:afterAutospacing="0"/>
              <w:contextualSpacing/>
              <w:jc w:val="both"/>
              <w:rPr>
                <w:bCs/>
                <w:lang w:val="uk-UA"/>
              </w:rPr>
            </w:pPr>
            <w:r>
              <w:rPr>
                <w:bCs/>
                <w:lang w:val="uk-UA"/>
              </w:rPr>
              <w:t>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73" w:type="dxa"/>
            <w:gridSpan w:val="2"/>
            <w:shd w:val="clear" w:color="auto" w:fill="auto"/>
          </w:tcPr>
          <w:p>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таке забезпечення вимагається замовником). </w:t>
            </w:r>
          </w:p>
          <w:p>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uto"/>
            <w:vAlign w:val="center"/>
          </w:tcPr>
          <w:p>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4. </w:t>
            </w:r>
            <w:r>
              <w:rPr>
                <w:rFonts w:ascii="Times New Roman" w:hAnsi="Times New Roman"/>
                <w:b/>
                <w:sz w:val="24"/>
                <w:szCs w:val="24"/>
              </w:rPr>
              <w:t>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65" w:type="dxa"/>
            <w:gridSpan w:val="2"/>
            <w:shd w:val="clear" w:color="auto" w:fill="auto"/>
          </w:tcPr>
          <w:p>
            <w:pPr>
              <w:pStyle w:val="28"/>
              <w:widowControl w:val="0"/>
              <w:ind w:right="113"/>
              <w:contextualSpacing/>
              <w:jc w:val="both"/>
              <w:rPr>
                <w:rFonts w:ascii="Times New Roman" w:hAnsi="Times New Roman"/>
                <w:b/>
                <w:sz w:val="24"/>
                <w:szCs w:val="24"/>
                <w:lang w:eastAsia="uk-UA"/>
              </w:rPr>
            </w:pPr>
            <w:r>
              <w:rPr>
                <w:rStyle w:val="29"/>
                <w:rFonts w:ascii="Times New Roman" w:hAnsi="Times New Roman"/>
                <w:b/>
                <w:sz w:val="24"/>
                <w:szCs w:val="24"/>
              </w:rPr>
              <w:t>Кінцевий строк подання тендерної пропозиції</w:t>
            </w:r>
          </w:p>
        </w:tc>
        <w:tc>
          <w:tcPr>
            <w:tcW w:w="6255" w:type="dxa"/>
            <w:shd w:val="clear" w:color="auto" w:fill="auto"/>
          </w:tcPr>
          <w:p>
            <w:pPr>
              <w:pStyle w:val="22"/>
              <w:spacing w:before="0" w:beforeAutospacing="0" w:after="0" w:afterAutospacing="0"/>
              <w:ind w:right="-72" w:firstLine="252"/>
              <w:contextualSpacing/>
              <w:jc w:val="both"/>
              <w:rPr>
                <w:lang w:val="uk-UA"/>
              </w:rPr>
            </w:pPr>
            <w:r>
              <w:rPr>
                <w:lang w:val="uk-UA"/>
              </w:rPr>
              <w:t xml:space="preserve">Кінцевий строк подання тендерних пропозицій: </w:t>
            </w:r>
          </w:p>
          <w:p>
            <w:pPr>
              <w:pStyle w:val="22"/>
              <w:spacing w:before="0" w:beforeAutospacing="0" w:after="0" w:afterAutospacing="0"/>
              <w:ind w:right="-72" w:firstLine="252"/>
              <w:contextualSpacing/>
              <w:jc w:val="both"/>
              <w:rPr>
                <w:b/>
                <w:u w:val="single"/>
                <w:lang w:val="uk-UA"/>
              </w:rPr>
            </w:pPr>
            <w:r>
              <w:rPr>
                <w:b/>
                <w:u w:val="single"/>
                <w:lang w:val="uk-UA"/>
              </w:rPr>
              <w:t>«1</w:t>
            </w:r>
            <w:r>
              <w:rPr>
                <w:rFonts w:hint="default"/>
                <w:b/>
                <w:u w:val="single"/>
                <w:lang w:val="uk-UA"/>
              </w:rPr>
              <w:t>1</w:t>
            </w:r>
            <w:bookmarkStart w:id="27" w:name="_GoBack"/>
            <w:bookmarkEnd w:id="27"/>
            <w:r>
              <w:rPr>
                <w:b/>
                <w:u w:val="single"/>
                <w:lang w:val="uk-UA"/>
              </w:rPr>
              <w:t>»  жовтня 2022року   о 00:00 год.</w:t>
            </w:r>
          </w:p>
          <w:p>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73" w:type="dxa"/>
            <w:gridSpan w:val="2"/>
            <w:shd w:val="clear" w:color="auto" w:fill="auto"/>
          </w:tcPr>
          <w:p>
            <w:pPr>
              <w:pStyle w:val="41"/>
              <w:widowControl w:val="0"/>
              <w:spacing w:line="240" w:lineRule="auto"/>
              <w:ind w:firstLine="31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pPr>
              <w:pStyle w:val="41"/>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pPr>
              <w:pStyle w:val="41"/>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p>
          <w:p>
            <w:pPr>
              <w:pStyle w:val="41"/>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Style w:val="33"/>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статті 16 Закону</w:t>
            </w:r>
            <w:r>
              <w:rPr>
                <w:rStyle w:val="33"/>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і вимогам, установленим</w:t>
            </w:r>
            <w:r>
              <w:rPr>
                <w:rStyle w:val="33"/>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статтею 17 Закону.</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Pr>
                <w:rFonts w:ascii="Times New Roman" w:hAnsi="Times New Roman"/>
                <w:b/>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uto"/>
          </w:tcPr>
          <w:p>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5. </w:t>
            </w:r>
            <w:r>
              <w:rPr>
                <w:rFonts w:ascii="Times New Roman" w:hAnsi="Times New Roman"/>
                <w:b/>
                <w:sz w:val="24"/>
                <w:szCs w:val="24"/>
              </w:rPr>
              <w:t>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3" w:type="dxa"/>
            <w:gridSpan w:val="2"/>
            <w:shd w:val="clear" w:color="auto" w:fill="auto"/>
          </w:tcPr>
          <w:p>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w:t>
            </w:r>
          </w:p>
          <w:p>
            <w:pPr>
              <w:tabs>
                <w:tab w:val="left" w:pos="426"/>
              </w:tabs>
              <w:spacing w:after="0" w:line="240" w:lineRule="auto"/>
              <w:ind w:firstLine="389"/>
              <w:jc w:val="both"/>
              <w:rPr>
                <w:rFonts w:ascii="Times New Roman" w:hAnsi="Times New Roman"/>
                <w:b/>
                <w:bCs/>
                <w:sz w:val="24"/>
                <w:szCs w:val="24"/>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hAnsi="Times New Roman"/>
                <w:b/>
                <w:bCs/>
                <w:sz w:val="24"/>
                <w:szCs w:val="24"/>
              </w:rPr>
              <w:t xml:space="preserve"> </w:t>
            </w:r>
          </w:p>
          <w:p>
            <w:pPr>
              <w:tabs>
                <w:tab w:val="left" w:pos="426"/>
              </w:tabs>
              <w:spacing w:after="0" w:line="240" w:lineRule="auto"/>
              <w:ind w:firstLine="389"/>
              <w:jc w:val="both"/>
              <w:rPr>
                <w:rFonts w:ascii="Times New Roman" w:hAnsi="Times New Roman"/>
                <w:sz w:val="24"/>
                <w:szCs w:val="24"/>
              </w:rPr>
            </w:pPr>
            <w:r>
              <w:rPr>
                <w:rFonts w:ascii="Times New Roman" w:hAnsi="Times New Roman"/>
                <w:sz w:val="24"/>
                <w:szCs w:val="24"/>
              </w:rPr>
              <w:t>Ціну за одиницю товару без ПДВ Учасник повинен зазначати тільки з двома знаками після коми, при цьому другий знак після коми має бути « 0 » або « 5 ». Учасник повинен зазначити у формі тендерної пропозиції  (Додаток 2</w:t>
            </w:r>
            <w:r>
              <w:rPr>
                <w:rFonts w:ascii="Times New Roman" w:hAnsi="Times New Roman" w:eastAsia="Times New Roman"/>
                <w:spacing w:val="-6"/>
                <w:sz w:val="24"/>
                <w:szCs w:val="24"/>
                <w:lang w:eastAsia="zh-CN"/>
              </w:rPr>
              <w:t xml:space="preserve"> зі змінами</w:t>
            </w:r>
            <w:r>
              <w:rPr>
                <w:rFonts w:ascii="Times New Roman" w:hAnsi="Times New Roman"/>
                <w:sz w:val="24"/>
                <w:szCs w:val="24"/>
              </w:rPr>
              <w:t xml:space="preserve">  цієї тендерної документації) загальну вартість з урахуванням всіх податків і зборів (цифрами і прописом). Загальна вартість тендерної пропозиції повинна складатися з урахуванням кількісних, якісних, технічних вимог, зазначених у Додатку 1</w:t>
            </w:r>
            <w:r>
              <w:rPr>
                <w:rFonts w:ascii="Times New Roman" w:hAnsi="Times New Roman" w:eastAsia="Times New Roman"/>
                <w:spacing w:val="-6"/>
                <w:sz w:val="24"/>
                <w:szCs w:val="24"/>
                <w:lang w:eastAsia="zh-CN"/>
              </w:rPr>
              <w:t xml:space="preserve"> зі змінами</w:t>
            </w:r>
            <w:r>
              <w:rPr>
                <w:rFonts w:ascii="Times New Roman" w:hAnsi="Times New Roman"/>
                <w:sz w:val="24"/>
                <w:szCs w:val="24"/>
              </w:rPr>
              <w:t xml:space="preserve"> цієї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73" w:type="dxa"/>
            <w:gridSpan w:val="2"/>
            <w:shd w:val="clear" w:color="auto" w:fill="auto"/>
          </w:tcPr>
          <w:p>
            <w:pPr>
              <w:widowControl w:val="0"/>
              <w:spacing w:after="0" w:line="240" w:lineRule="auto"/>
              <w:ind w:left="34" w:right="113" w:firstLine="165"/>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ind w:left="34" w:right="113" w:firstLine="165"/>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За підроблення документів Учасник торгів несе кримінальну відповідальність згідно статті 358 Кримінального Кодексу України. </w:t>
            </w:r>
          </w:p>
          <w:p>
            <w:pPr>
              <w:widowControl w:val="0"/>
              <w:spacing w:after="0" w:line="240" w:lineRule="auto"/>
              <w:ind w:left="34" w:right="113" w:firstLine="165"/>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Опис та приклади формальних (несуттєвих) помилок, допущення яких учасниками не призведе до відхилення тендерних пропозицій.</w:t>
            </w:r>
          </w:p>
          <w:p>
            <w:pPr>
              <w:widowControl w:val="0"/>
              <w:spacing w:after="0" w:line="240" w:lineRule="auto"/>
              <w:ind w:left="34" w:right="113" w:firstLine="165"/>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pPr>
              <w:pStyle w:val="30"/>
              <w:shd w:val="clear" w:color="auto" w:fill="FFFFFF"/>
              <w:spacing w:before="0" w:beforeAutospacing="0" w:after="0" w:afterAutospacing="0" w:line="0" w:lineRule="atLeast"/>
              <w:ind w:firstLine="450"/>
              <w:jc w:val="both"/>
              <w:rPr>
                <w:color w:val="333333"/>
                <w:lang w:val="ru-RU"/>
              </w:rPr>
            </w:pPr>
            <w:r>
              <w:rPr>
                <w:rFonts w:eastAsia="Times New Roman"/>
                <w:lang w:eastAsia="ru-RU"/>
              </w:rPr>
              <w:t xml:space="preserve"> До формальних (несуттєвих) помилок належать технічні, механічні та інші помилки</w:t>
            </w:r>
            <w:r>
              <w:rPr>
                <w:rFonts w:eastAsia="Times New Roman"/>
                <w:lang w:val="ru-RU" w:eastAsia="ru-RU"/>
              </w:rPr>
              <w:t>:</w:t>
            </w:r>
            <w:r>
              <w:rPr>
                <w:color w:val="333333"/>
              </w:rPr>
              <w:t xml:space="preserve"> </w:t>
            </w:r>
          </w:p>
          <w:p>
            <w:pPr>
              <w:pStyle w:val="30"/>
              <w:shd w:val="clear" w:color="auto" w:fill="FFFFFF"/>
              <w:spacing w:before="0" w:beforeAutospacing="0" w:after="0" w:afterAutospacing="0" w:line="0" w:lineRule="atLeast"/>
              <w:ind w:firstLine="450"/>
              <w:jc w:val="both"/>
              <w:rPr>
                <w:rFonts w:eastAsia="Times New Roman"/>
              </w:rPr>
            </w:pPr>
            <w:r>
              <w:rPr>
                <w:rFonts w:eastAsia="Times New Roman"/>
                <w:lang w:val="ru-RU"/>
              </w:rPr>
              <w:t>-1.У</w:t>
            </w:r>
            <w:r>
              <w:rPr>
                <w:rFonts w:eastAsia="Times New Roman"/>
              </w:rPr>
              <w:t>живання великої літери;</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9" w:name="n17"/>
            <w:bookmarkEnd w:id="9"/>
            <w:r>
              <w:rPr>
                <w:rFonts w:ascii="Times New Roman" w:hAnsi="Times New Roman" w:eastAsia="Times New Roman"/>
                <w:sz w:val="24"/>
                <w:szCs w:val="24"/>
                <w:lang w:val="ru-RU" w:eastAsia="uk-UA"/>
              </w:rPr>
              <w:t>у</w:t>
            </w:r>
            <w:r>
              <w:rPr>
                <w:rFonts w:ascii="Times New Roman" w:hAnsi="Times New Roman" w:eastAsia="Times New Roman"/>
                <w:sz w:val="24"/>
                <w:szCs w:val="24"/>
                <w:lang w:eastAsia="uk-UA"/>
              </w:rPr>
              <w:t>живання розділових знаків та відмінювання слів у реченні;</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10" w:name="n18"/>
            <w:bookmarkEnd w:id="10"/>
            <w:r>
              <w:rPr>
                <w:rFonts w:ascii="Times New Roman" w:hAnsi="Times New Roman" w:eastAsia="Times New Roman"/>
                <w:sz w:val="24"/>
                <w:szCs w:val="24"/>
                <w:lang w:eastAsia="uk-UA"/>
              </w:rPr>
              <w:t>використання слова або мовного звороту, запозичених з іншої мови;</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11" w:name="n19"/>
            <w:bookmarkEnd w:id="11"/>
            <w:r>
              <w:rPr>
                <w:rFonts w:ascii="Times New Roman" w:hAnsi="Times New Roman" w:eastAsia="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12" w:name="n20"/>
            <w:bookmarkEnd w:id="12"/>
            <w:r>
              <w:rPr>
                <w:rFonts w:ascii="Times New Roman" w:hAnsi="Times New Roman" w:eastAsia="Times New Roman"/>
                <w:sz w:val="24"/>
                <w:szCs w:val="24"/>
                <w:lang w:eastAsia="uk-UA"/>
              </w:rPr>
              <w:t>застосування правил переносу частини слова з рядка в рядок;</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13" w:name="n21"/>
            <w:bookmarkEnd w:id="13"/>
            <w:r>
              <w:rPr>
                <w:rFonts w:ascii="Times New Roman" w:hAnsi="Times New Roman" w:eastAsia="Times New Roman"/>
                <w:sz w:val="24"/>
                <w:szCs w:val="24"/>
                <w:lang w:eastAsia="uk-UA"/>
              </w:rPr>
              <w:t>написання слів разом та/або окремо, та/або через дефіс;</w:t>
            </w:r>
          </w:p>
          <w:p>
            <w:pPr>
              <w:shd w:val="clear" w:color="auto" w:fill="FFFFFF"/>
              <w:spacing w:after="0" w:line="0" w:lineRule="atLeast"/>
              <w:ind w:firstLine="450"/>
              <w:jc w:val="both"/>
              <w:rPr>
                <w:rFonts w:ascii="Times New Roman" w:hAnsi="Times New Roman" w:eastAsia="Times New Roman"/>
                <w:sz w:val="24"/>
                <w:szCs w:val="24"/>
                <w:lang w:eastAsia="uk-UA"/>
              </w:rPr>
            </w:pPr>
            <w:bookmarkStart w:id="14" w:name="n22"/>
            <w:bookmarkEnd w:id="14"/>
            <w:r>
              <w:rPr>
                <w:rFonts w:ascii="Times New Roman" w:hAnsi="Times New Roman" w:eastAsia="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spacing w:after="0" w:line="0" w:lineRule="atLeast"/>
              <w:ind w:firstLine="448"/>
              <w:jc w:val="both"/>
              <w:rPr>
                <w:rFonts w:ascii="Times New Roman" w:hAnsi="Times New Roman" w:eastAsia="Times New Roman"/>
                <w:sz w:val="24"/>
                <w:szCs w:val="24"/>
                <w:lang w:eastAsia="uk-UA"/>
              </w:rPr>
            </w:pPr>
            <w:bookmarkStart w:id="15" w:name="n23"/>
            <w:bookmarkEnd w:id="15"/>
            <w:r>
              <w:rPr>
                <w:rFonts w:ascii="Times New Roman" w:hAnsi="Times New Roman" w:eastAsia="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spacing w:after="0" w:line="0" w:lineRule="atLeast"/>
              <w:ind w:firstLine="448"/>
              <w:jc w:val="both"/>
              <w:rPr>
                <w:rFonts w:ascii="Times New Roman" w:hAnsi="Times New Roman" w:eastAsia="Times New Roman"/>
                <w:sz w:val="24"/>
                <w:szCs w:val="24"/>
                <w:lang w:eastAsia="uk-UA"/>
              </w:rPr>
            </w:pPr>
            <w:bookmarkStart w:id="16" w:name="n24"/>
            <w:bookmarkEnd w:id="16"/>
            <w:r>
              <w:rPr>
                <w:rFonts w:ascii="Times New Roman" w:hAnsi="Times New Roman" w:eastAsia="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spacing w:after="0" w:line="0" w:lineRule="atLeast"/>
              <w:ind w:firstLine="448"/>
              <w:jc w:val="both"/>
              <w:rPr>
                <w:rFonts w:ascii="Times New Roman" w:hAnsi="Times New Roman" w:eastAsia="Times New Roman"/>
                <w:sz w:val="24"/>
                <w:szCs w:val="24"/>
                <w:lang w:eastAsia="uk-UA"/>
              </w:rPr>
            </w:pPr>
            <w:bookmarkStart w:id="17" w:name="n25"/>
            <w:bookmarkEnd w:id="17"/>
            <w:r>
              <w:rPr>
                <w:rFonts w:ascii="Times New Roman" w:hAnsi="Times New Roman" w:eastAsia="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spacing w:after="0" w:line="0" w:lineRule="atLeast"/>
              <w:ind w:firstLine="448"/>
              <w:jc w:val="both"/>
              <w:rPr>
                <w:rFonts w:ascii="Times New Roman" w:hAnsi="Times New Roman" w:eastAsia="Times New Roman"/>
                <w:sz w:val="24"/>
                <w:szCs w:val="24"/>
                <w:lang w:eastAsia="uk-UA"/>
              </w:rPr>
            </w:pPr>
            <w:bookmarkStart w:id="18" w:name="n26"/>
            <w:bookmarkEnd w:id="18"/>
            <w:r>
              <w:rPr>
                <w:rFonts w:ascii="Times New Roman" w:hAnsi="Times New Roman" w:eastAsia="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spacing w:after="0" w:line="0" w:lineRule="atLeast"/>
              <w:ind w:firstLine="448"/>
              <w:jc w:val="both"/>
              <w:rPr>
                <w:rFonts w:ascii="Times New Roman" w:hAnsi="Times New Roman" w:eastAsia="Times New Roman"/>
                <w:sz w:val="24"/>
                <w:szCs w:val="24"/>
                <w:lang w:eastAsia="uk-UA"/>
              </w:rPr>
            </w:pPr>
            <w:bookmarkStart w:id="19" w:name="n27"/>
            <w:bookmarkEnd w:id="19"/>
            <w:r>
              <w:rPr>
                <w:rFonts w:ascii="Times New Roman" w:hAnsi="Times New Roman" w:eastAsia="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0" w:name="n28"/>
            <w:bookmarkEnd w:id="20"/>
            <w:r>
              <w:rPr>
                <w:rFonts w:ascii="Times New Roman" w:hAnsi="Times New Roman" w:eastAsia="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1" w:name="n29"/>
            <w:bookmarkEnd w:id="21"/>
            <w:r>
              <w:rPr>
                <w:rFonts w:ascii="Times New Roman" w:hAnsi="Times New Roman" w:eastAsia="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2" w:name="n30"/>
            <w:bookmarkEnd w:id="22"/>
            <w:r>
              <w:rPr>
                <w:rFonts w:ascii="Times New Roman" w:hAnsi="Times New Roman" w:eastAsia="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3" w:name="n31"/>
            <w:bookmarkEnd w:id="23"/>
            <w:r>
              <w:rPr>
                <w:rFonts w:ascii="Times New Roman" w:hAnsi="Times New Roman" w:eastAsia="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4" w:name="n32"/>
            <w:bookmarkEnd w:id="24"/>
            <w:r>
              <w:rPr>
                <w:rFonts w:ascii="Times New Roman" w:hAnsi="Times New Roman" w:eastAsia="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spacing w:after="150" w:line="240" w:lineRule="auto"/>
              <w:ind w:firstLine="450"/>
              <w:jc w:val="both"/>
              <w:rPr>
                <w:rFonts w:ascii="Times New Roman" w:hAnsi="Times New Roman" w:eastAsia="Times New Roman"/>
                <w:sz w:val="24"/>
                <w:szCs w:val="24"/>
                <w:lang w:eastAsia="uk-UA"/>
              </w:rPr>
            </w:pPr>
            <w:bookmarkStart w:id="25" w:name="n33"/>
            <w:bookmarkEnd w:id="25"/>
            <w:r>
              <w:rPr>
                <w:rFonts w:ascii="Times New Roman" w:hAnsi="Times New Roman" w:eastAsia="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numPr>
                <w:ilvl w:val="0"/>
                <w:numId w:val="2"/>
              </w:numPr>
              <w:spacing w:after="0" w:line="240" w:lineRule="auto"/>
              <w:ind w:left="0" w:right="113"/>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Замовник не зобов’язаний приймати пропозиції, що містять інші помилки, аніж ті, що вказано.</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Згідно з пунктом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Обґрунтування аномально низької тендерної пропозиції може містити інформацію про:</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widowControl w:val="0"/>
              <w:spacing w:after="0" w:line="240" w:lineRule="auto"/>
              <w:ind w:right="113" w:firstLine="252"/>
              <w:contextualSpacing/>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3) отримання учасником державної допомоги згідно із законодавством.</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Замовник розміщує повідомлення з вимогою про усунення невідповідностей в інформації та/або документах:</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 на підтвердження права підпису тендерної пропозиції та/або договору про закупівлю.</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Повідомлення з вимогою про усунення невідповідностей повинно містити таку інформацію:</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перелік виявлених невідповідностей;</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 посилання на вимогу (вимоги) тендерної документації, щодо якої (яких) виявлені невідповідності;</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 перелік інформації та/або документів, які повинен подати учасник для усунення виявлених невідповідностей.</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ind w:right="113" w:firstLine="252"/>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Переможець тендеру у строк, що не перевищує 10 днів після оприлюднення повідомлення про намір укласти договір зобов’язаний викласти у електронній системі закупівель скориговану, за результатами проведеного аукціону форму «Тендерна пропозиція», згідно Додатку 2 тендерної документації.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p>
            <w:pPr>
              <w:widowControl w:val="0"/>
              <w:spacing w:after="0" w:line="240" w:lineRule="auto"/>
              <w:contextualSpacing/>
              <w:rPr>
                <w:rFonts w:ascii="Times New Roman" w:hAnsi="Times New Roman"/>
                <w:b/>
                <w:sz w:val="24"/>
                <w:szCs w:val="24"/>
                <w:lang w:eastAsia="uk-UA"/>
              </w:rPr>
            </w:pPr>
          </w:p>
        </w:tc>
        <w:tc>
          <w:tcPr>
            <w:tcW w:w="3147" w:type="dxa"/>
            <w:tcBorders>
              <w:top w:val="single" w:color="auto" w:sz="4" w:space="0"/>
              <w:left w:val="single" w:color="auto" w:sz="4" w:space="0"/>
              <w:bottom w:val="single" w:color="auto" w:sz="4" w:space="0"/>
              <w:right w:val="single" w:color="auto" w:sz="4" w:space="0"/>
            </w:tcBorders>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p>
            <w:pPr>
              <w:widowControl w:val="0"/>
              <w:spacing w:after="0" w:line="240" w:lineRule="auto"/>
              <w:ind w:right="113"/>
              <w:contextualSpacing/>
              <w:rPr>
                <w:rFonts w:ascii="Times New Roman" w:hAnsi="Times New Roman"/>
                <w:b/>
                <w:sz w:val="24"/>
                <w:szCs w:val="24"/>
                <w:lang w:eastAsia="uk-UA"/>
              </w:rPr>
            </w:pPr>
          </w:p>
        </w:tc>
        <w:tc>
          <w:tcPr>
            <w:tcW w:w="6273" w:type="dxa"/>
            <w:gridSpan w:val="2"/>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 учасник процедури закупівлі:</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відповідає вимогам, підпункту 1.10 частини 1 розділу 3 Тендерної документації, встановленим абзацом 1 частини 3 статті 22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надав обґрунтування аномально низької ціни тендерної пропозиції протягом строку, визначеного в частині 14 статті 29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визначив конфіденційною інформацію, що не може бути визначена як конфіденційна відповідно до вимог частини 2 статті 28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 тендерна пропозиція учасника:</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викладена іншою мовою (мовами), аніж мова (мови), що вимагається тендерною документацією;</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є такою, строк дії якої закінчився;</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 переможець процедури закупівлі:</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не надав копію ліцензії або документа дозвільного характеру (у разі їх наявності) відповідно до частини 2 статті 41 Закону.</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pPr>
              <w:spacing w:after="0" w:line="240" w:lineRule="auto"/>
              <w:ind w:firstLine="437"/>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996" w:type="dxa"/>
            <w:gridSpan w:val="4"/>
            <w:shd w:val="clear" w:color="auto" w:fill="auto"/>
            <w:vAlign w:val="center"/>
          </w:tcPr>
          <w:p>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lang w:eastAsia="uk-UA"/>
              </w:rPr>
              <w:t>Розділ 6. 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Відміна тендеру чи визнання тендеру таким, що не відбувся</w:t>
            </w:r>
          </w:p>
        </w:tc>
        <w:tc>
          <w:tcPr>
            <w:tcW w:w="6273" w:type="dxa"/>
            <w:gridSpan w:val="2"/>
            <w:shd w:val="clear" w:color="auto" w:fill="auto"/>
          </w:tcPr>
          <w:p>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Замовник відміняє тендер у разі:</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Тендер автоматично відміняється електронною системою закупівель у разі:</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подання для участі менше двох тендерних пропозицій;</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відхилення всіх тендерних пропозицій згідно з цим Законом.</w:t>
            </w:r>
          </w:p>
          <w:p>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Замовник має право визнати тендер таким, що не відбувся, у разі:</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якщо здійснення закупівлі стало неможливим внаслідок дії непереборної сили;</w:t>
            </w:r>
          </w:p>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скорочення видатків на здійснення закупівлі товарів, робіт чи послуг.</w:t>
            </w:r>
          </w:p>
          <w:p>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2</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73" w:type="dxa"/>
            <w:gridSpan w:val="2"/>
            <w:shd w:val="clear" w:color="auto" w:fill="auto"/>
          </w:tcPr>
          <w:p>
            <w:pPr>
              <w:widowControl w:val="0"/>
              <w:spacing w:after="0" w:line="240" w:lineRule="auto"/>
              <w:ind w:right="113" w:firstLine="379"/>
              <w:contextualSpacing/>
              <w:jc w:val="both"/>
              <w:rPr>
                <w:rFonts w:ascii="Times New Roman" w:hAnsi="Times New Roman"/>
                <w:sz w:val="24"/>
                <w:szCs w:val="24"/>
                <w:lang w:val="ru-RU" w:eastAsia="ru-RU"/>
              </w:rPr>
            </w:pPr>
            <w:r>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pPr>
              <w:widowControl w:val="0"/>
              <w:spacing w:after="0" w:line="240" w:lineRule="auto"/>
              <w:ind w:right="113" w:firstLine="379"/>
              <w:contextualSpacing/>
              <w:jc w:val="both"/>
              <w:rPr>
                <w:rFonts w:ascii="Times New Roman" w:hAnsi="Times New Roman"/>
                <w:sz w:val="24"/>
                <w:szCs w:val="24"/>
                <w:lang w:eastAsia="ru-RU"/>
              </w:rPr>
            </w:pPr>
            <w:r>
              <w:rPr>
                <w:rFonts w:ascii="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spacing w:after="0" w:line="240" w:lineRule="auto"/>
              <w:ind w:right="113" w:firstLine="379"/>
              <w:contextualSpacing/>
              <w:jc w:val="both"/>
              <w:rPr>
                <w:rFonts w:ascii="Times New Roman" w:hAnsi="Times New Roman" w:eastAsia="Times New Roman"/>
                <w:sz w:val="24"/>
                <w:szCs w:val="24"/>
                <w:lang w:val="ru-RU" w:eastAsia="ru-RU"/>
              </w:rPr>
            </w:pPr>
            <w:r>
              <w:rPr>
                <w:rFonts w:ascii="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26" w:name="n1764"/>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3</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Проєкт договору про закупівлю </w:t>
            </w:r>
          </w:p>
        </w:tc>
        <w:tc>
          <w:tcPr>
            <w:tcW w:w="6273" w:type="dxa"/>
            <w:gridSpan w:val="2"/>
            <w:shd w:val="clear" w:color="auto" w:fill="auto"/>
          </w:tcPr>
          <w:p>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Проєкт договору про закупівлю</w:t>
            </w:r>
            <w:r>
              <w:rPr>
                <w:rFonts w:ascii="Times New Roman" w:hAnsi="Times New Roman"/>
                <w:sz w:val="24"/>
                <w:szCs w:val="24"/>
              </w:rPr>
              <w:t xml:space="preserve"> викладений у Додатку 6</w:t>
            </w:r>
            <w:r>
              <w:rPr>
                <w:b/>
                <w:sz w:val="24"/>
                <w:szCs w:val="24"/>
              </w:rPr>
              <w:t xml:space="preserve"> </w:t>
            </w:r>
            <w:r>
              <w:rPr>
                <w:rFonts w:ascii="Times New Roman" w:hAnsi="Times New Roman" w:eastAsia="Times New Roman"/>
                <w:spacing w:val="-6"/>
                <w:sz w:val="24"/>
                <w:szCs w:val="24"/>
                <w:lang w:eastAsia="zh-CN"/>
              </w:rPr>
              <w:t>зі змінами</w:t>
            </w:r>
            <w:r>
              <w:rPr>
                <w:rFonts w:ascii="Times New Roman" w:hAnsi="Times New Roman"/>
                <w:sz w:val="24"/>
                <w:szCs w:val="24"/>
              </w:rPr>
              <w:t xml:space="preserve">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4</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73" w:type="dxa"/>
            <w:gridSpan w:val="2"/>
            <w:shd w:val="clear" w:color="auto" w:fill="auto"/>
          </w:tcPr>
          <w:p>
            <w:pPr>
              <w:widowControl w:val="0"/>
              <w:spacing w:after="0" w:line="240" w:lineRule="auto"/>
              <w:ind w:right="113" w:firstLine="379"/>
              <w:contextualSpacing/>
              <w:jc w:val="both"/>
              <w:rPr>
                <w:rStyle w:val="29"/>
                <w:rFonts w:ascii="Times New Roman" w:hAnsi="Times New Roman"/>
                <w:sz w:val="24"/>
                <w:szCs w:val="24"/>
                <w:lang w:val="ru-RU"/>
              </w:rPr>
            </w:pPr>
            <w:r>
              <w:rPr>
                <w:rFonts w:ascii="Times New Roman" w:hAnsi="Times New Roman"/>
                <w:lang w:val="ru-RU"/>
              </w:rPr>
              <w:t>Знаходяться в проєкті  договору -</w:t>
            </w:r>
            <w:r>
              <w:rPr>
                <w:rStyle w:val="29"/>
                <w:rFonts w:ascii="Times New Roman" w:hAnsi="Times New Roman"/>
                <w:sz w:val="24"/>
                <w:szCs w:val="24"/>
              </w:rPr>
              <w:t xml:space="preserve"> </w:t>
            </w:r>
            <w:r>
              <w:rPr>
                <w:rFonts w:ascii="Times New Roman" w:hAnsi="Times New Roman"/>
                <w:sz w:val="24"/>
                <w:szCs w:val="24"/>
              </w:rPr>
              <w:t>Додатку 6</w:t>
            </w:r>
            <w:r>
              <w:rPr>
                <w:b/>
                <w:sz w:val="24"/>
                <w:szCs w:val="24"/>
              </w:rPr>
              <w:t xml:space="preserve"> </w:t>
            </w:r>
            <w:r>
              <w:rPr>
                <w:rFonts w:ascii="Times New Roman" w:hAnsi="Times New Roman" w:eastAsia="Times New Roman"/>
                <w:spacing w:val="-6"/>
                <w:sz w:val="24"/>
                <w:szCs w:val="24"/>
                <w:lang w:eastAsia="zh-CN"/>
              </w:rPr>
              <w:t>зі змінами</w:t>
            </w:r>
            <w:r>
              <w:rPr>
                <w:rFonts w:ascii="Times New Roman" w:hAnsi="Times New Roman"/>
                <w:sz w:val="24"/>
                <w:szCs w:val="24"/>
              </w:rPr>
              <w:t xml:space="preserve">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5</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 або ненадання переможцем необхідних документів</w:t>
            </w:r>
          </w:p>
        </w:tc>
        <w:tc>
          <w:tcPr>
            <w:tcW w:w="6273" w:type="dxa"/>
            <w:gridSpan w:val="2"/>
            <w:shd w:val="clear" w:color="auto" w:fill="auto"/>
          </w:tcPr>
          <w:p>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76" w:type="dxa"/>
            <w:shd w:val="clear" w:color="auto" w:fill="auto"/>
          </w:tcPr>
          <w:p>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6</w:t>
            </w:r>
          </w:p>
        </w:tc>
        <w:tc>
          <w:tcPr>
            <w:tcW w:w="3147" w:type="dxa"/>
            <w:shd w:val="clear" w:color="auto" w:fill="auto"/>
          </w:tcPr>
          <w:p>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73" w:type="dxa"/>
            <w:gridSpan w:val="2"/>
            <w:shd w:val="clear" w:color="auto" w:fill="auto"/>
          </w:tcPr>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Забезпечення виконання договору вноситься Учасником - переможцем не пізніше дати укладання договору про закупівлю. </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Вид забезпечення виконання договору про закупівлю:грошова застава. </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Грошова застава повинна відповідати наступним вимогам:</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1. Грошова застава подається учасником - переможцем на ім’я ЛКП «Львівсвітло» не пізніше дати укладання договору про закупівлю..</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Реквізити для оформлення грошової застави:</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Львівське комунальне підприємство «Львівсвітло» </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79068 м.Львів вул..А.Лінкольна,8 ЄДРПОУ 03348577</w:t>
            </w:r>
          </w:p>
          <w:p>
            <w:pPr>
              <w:spacing w:after="0"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ІПН 033485713072,п/р UA 163204780000000026007273563</w:t>
            </w:r>
          </w:p>
          <w:p>
            <w:pPr>
              <w:widowControl w:val="0"/>
              <w:spacing w:after="0" w:line="240" w:lineRule="auto"/>
              <w:ind w:right="113"/>
              <w:contextualSpacing/>
              <w:jc w:val="both"/>
              <w:rPr>
                <w:rFonts w:ascii="Times New Roman" w:hAnsi="Times New Roman"/>
                <w:sz w:val="24"/>
                <w:szCs w:val="24"/>
              </w:rPr>
            </w:pPr>
            <w:r>
              <w:rPr>
                <w:rFonts w:ascii="Times New Roman" w:hAnsi="Times New Roman" w:eastAsia="Times New Roman"/>
                <w:sz w:val="24"/>
                <w:szCs w:val="24"/>
                <w:lang w:eastAsia="zh-CN"/>
              </w:rPr>
              <w:t>в ПАТ АБ «УКРГАЗБАНК»</w:t>
            </w:r>
            <w:r>
              <w:rPr>
                <w:rFonts w:ascii="Times New Roman" w:hAnsi="Times New Roman"/>
                <w:sz w:val="24"/>
                <w:szCs w:val="24"/>
              </w:rPr>
              <w:t xml:space="preserve"> </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pPr>
        <w:spacing w:after="0"/>
        <w:rPr>
          <w:rFonts w:ascii="Times New Roman" w:hAnsi="Times New Roman"/>
          <w:b/>
          <w:sz w:val="24"/>
          <w:szCs w:val="24"/>
        </w:rPr>
      </w:pPr>
      <w:r>
        <w:rPr>
          <w:rFonts w:ascii="Times New Roman" w:hAnsi="Times New Roman"/>
          <w:b/>
          <w:sz w:val="24"/>
          <w:szCs w:val="24"/>
        </w:rPr>
        <w:t>Додатки:</w:t>
      </w:r>
    </w:p>
    <w:p>
      <w:pPr>
        <w:spacing w:after="0" w:line="240" w:lineRule="auto"/>
        <w:rPr>
          <w:rFonts w:ascii="Times New Roman" w:hAnsi="Times New Roman"/>
          <w:sz w:val="24"/>
          <w:szCs w:val="24"/>
        </w:rPr>
      </w:pPr>
      <w:r>
        <w:rPr>
          <w:rFonts w:ascii="Times New Roman" w:hAnsi="Times New Roman"/>
          <w:b/>
          <w:sz w:val="24"/>
          <w:szCs w:val="24"/>
        </w:rPr>
        <w:t>Додаток 1</w:t>
      </w:r>
      <w:r>
        <w:rPr>
          <w:rFonts w:ascii="Times New Roman" w:hAnsi="Times New Roman" w:eastAsia="Times New Roman"/>
          <w:spacing w:val="-6"/>
          <w:sz w:val="24"/>
          <w:szCs w:val="24"/>
          <w:lang w:eastAsia="zh-CN"/>
        </w:rPr>
        <w:t xml:space="preserve"> зі змінами</w:t>
      </w:r>
      <w:r>
        <w:rPr>
          <w:rFonts w:ascii="Times New Roman" w:hAnsi="Times New Roman"/>
          <w:b/>
          <w:sz w:val="24"/>
          <w:szCs w:val="24"/>
        </w:rPr>
        <w:t xml:space="preserve">: </w:t>
      </w:r>
      <w:r>
        <w:t xml:space="preserve"> </w:t>
      </w:r>
      <w:r>
        <w:rPr>
          <w:rFonts w:ascii="Times New Roman" w:hAnsi="Times New Roman"/>
          <w:sz w:val="24"/>
          <w:szCs w:val="24"/>
        </w:rPr>
        <w:t xml:space="preserve">Інформація про необхідні технічні, якісні та кількісні характеристики предмета закупівлі </w:t>
      </w:r>
    </w:p>
    <w:p>
      <w:pPr>
        <w:spacing w:after="0" w:line="240" w:lineRule="auto"/>
        <w:rPr>
          <w:rFonts w:ascii="Times New Roman" w:hAnsi="Times New Roman"/>
          <w:sz w:val="24"/>
          <w:szCs w:val="24"/>
        </w:rPr>
      </w:pPr>
      <w:r>
        <w:rPr>
          <w:rFonts w:ascii="Times New Roman" w:hAnsi="Times New Roman"/>
          <w:b/>
          <w:sz w:val="24"/>
          <w:szCs w:val="24"/>
        </w:rPr>
        <w:t>Додаток 1/1</w:t>
      </w:r>
      <w:r>
        <w:rPr>
          <w:rFonts w:ascii="Times New Roman" w:hAnsi="Times New Roman" w:eastAsia="Times New Roman"/>
          <w:spacing w:val="-6"/>
          <w:sz w:val="24"/>
          <w:szCs w:val="24"/>
          <w:lang w:eastAsia="zh-CN"/>
        </w:rPr>
        <w:t xml:space="preserve"> зі змінами</w:t>
      </w:r>
      <w:r>
        <w:rPr>
          <w:rFonts w:ascii="Times New Roman" w:hAnsi="Times New Roman"/>
          <w:b/>
          <w:sz w:val="24"/>
          <w:szCs w:val="24"/>
        </w:rPr>
        <w:t>:</w:t>
      </w:r>
      <w:r>
        <w:t xml:space="preserve"> Форма </w:t>
      </w:r>
      <w:r>
        <w:rPr>
          <w:rFonts w:ascii="Times New Roman" w:hAnsi="Times New Roman"/>
          <w:sz w:val="24"/>
          <w:szCs w:val="24"/>
        </w:rPr>
        <w:t>забезпечення тендерної пропозиції</w:t>
      </w:r>
    </w:p>
    <w:p>
      <w:pPr>
        <w:spacing w:after="0"/>
        <w:jc w:val="both"/>
        <w:rPr>
          <w:rFonts w:ascii="Times New Roman" w:hAnsi="Times New Roman"/>
          <w:sz w:val="24"/>
          <w:szCs w:val="24"/>
        </w:rPr>
      </w:pPr>
      <w:r>
        <w:rPr>
          <w:rFonts w:ascii="Times New Roman" w:hAnsi="Times New Roman"/>
          <w:b/>
          <w:sz w:val="24"/>
          <w:szCs w:val="24"/>
        </w:rPr>
        <w:t>Додаток 2</w:t>
      </w:r>
      <w:r>
        <w:rPr>
          <w:rFonts w:ascii="Times New Roman" w:hAnsi="Times New Roman" w:eastAsia="Times New Roman"/>
          <w:spacing w:val="-6"/>
          <w:sz w:val="24"/>
          <w:szCs w:val="24"/>
          <w:lang w:eastAsia="zh-CN"/>
        </w:rPr>
        <w:t xml:space="preserve"> зі змінами</w:t>
      </w:r>
      <w:r>
        <w:rPr>
          <w:rFonts w:ascii="Times New Roman" w:hAnsi="Times New Roman"/>
          <w:sz w:val="24"/>
          <w:szCs w:val="24"/>
        </w:rPr>
        <w:t xml:space="preserve">: Форма тендерної пропозиції </w:t>
      </w:r>
    </w:p>
    <w:p>
      <w:pPr>
        <w:spacing w:after="0"/>
        <w:jc w:val="both"/>
        <w:rPr>
          <w:rFonts w:ascii="Times New Roman" w:hAnsi="Times New Roman"/>
          <w:sz w:val="24"/>
          <w:szCs w:val="24"/>
        </w:rPr>
      </w:pPr>
      <w:r>
        <w:rPr>
          <w:rFonts w:ascii="Times New Roman" w:hAnsi="Times New Roman"/>
          <w:b/>
          <w:sz w:val="24"/>
          <w:szCs w:val="24"/>
        </w:rPr>
        <w:t>Додаток 3</w:t>
      </w:r>
      <w:r>
        <w:rPr>
          <w:rFonts w:ascii="Times New Roman" w:hAnsi="Times New Roman" w:eastAsia="Times New Roman"/>
          <w:spacing w:val="-6"/>
          <w:sz w:val="24"/>
          <w:szCs w:val="24"/>
          <w:lang w:eastAsia="zh-CN"/>
        </w:rPr>
        <w:t xml:space="preserve"> зі змінами</w:t>
      </w:r>
      <w:r>
        <w:rPr>
          <w:rFonts w:ascii="Times New Roman" w:hAnsi="Times New Roman"/>
          <w:sz w:val="24"/>
          <w:szCs w:val="24"/>
        </w:rPr>
        <w:t xml:space="preserve">: </w:t>
      </w:r>
      <w:r>
        <w:rPr>
          <w:rFonts w:ascii="Times New Roman" w:hAnsi="Times New Roman"/>
          <w:bCs/>
          <w:sz w:val="24"/>
          <w:szCs w:val="24"/>
        </w:rPr>
        <w:t xml:space="preserve">Інформація про відповідність учасників кваліфікаційним критеріям </w:t>
      </w:r>
      <w:r>
        <w:rPr>
          <w:rFonts w:ascii="Times New Roman" w:hAnsi="Times New Roman"/>
          <w:sz w:val="24"/>
          <w:szCs w:val="24"/>
        </w:rPr>
        <w:t xml:space="preserve">відповідно до статті 16 Закону </w:t>
      </w:r>
    </w:p>
    <w:p>
      <w:pPr>
        <w:spacing w:after="0" w:line="240" w:lineRule="auto"/>
        <w:jc w:val="both"/>
        <w:rPr>
          <w:rFonts w:ascii="Times New Roman" w:hAnsi="Times New Roman"/>
          <w:b/>
          <w:sz w:val="24"/>
          <w:szCs w:val="24"/>
        </w:rPr>
      </w:pPr>
      <w:r>
        <w:rPr>
          <w:rFonts w:ascii="Times New Roman" w:hAnsi="Times New Roman"/>
          <w:b/>
          <w:sz w:val="24"/>
          <w:szCs w:val="24"/>
        </w:rPr>
        <w:t>Додаток 4</w:t>
      </w:r>
      <w:r>
        <w:rPr>
          <w:rFonts w:ascii="Times New Roman" w:hAnsi="Times New Roman" w:eastAsia="Times New Roman"/>
          <w:spacing w:val="-6"/>
          <w:sz w:val="24"/>
          <w:szCs w:val="24"/>
          <w:lang w:eastAsia="zh-CN"/>
        </w:rPr>
        <w:t xml:space="preserve"> зі змінами</w:t>
      </w:r>
      <w:r>
        <w:rPr>
          <w:rFonts w:ascii="Times New Roman" w:hAnsi="Times New Roman"/>
          <w:b/>
          <w:sz w:val="24"/>
          <w:szCs w:val="24"/>
        </w:rPr>
        <w:t xml:space="preserve">: </w:t>
      </w:r>
      <w:r>
        <w:rPr>
          <w:rFonts w:ascii="Times New Roman" w:hAnsi="Times New Roman"/>
          <w:sz w:val="24"/>
          <w:szCs w:val="24"/>
        </w:rPr>
        <w:t>Документи для підтвердження інформації щодо відповідності вимогам, визначеним у статті 17 Закону</w:t>
      </w:r>
    </w:p>
    <w:p>
      <w:pPr>
        <w:spacing w:after="0"/>
        <w:rPr>
          <w:rFonts w:ascii="Times New Roman" w:hAnsi="Times New Roman"/>
          <w:sz w:val="24"/>
          <w:szCs w:val="24"/>
        </w:rPr>
      </w:pPr>
      <w:r>
        <w:rPr>
          <w:rFonts w:ascii="Times New Roman" w:hAnsi="Times New Roman"/>
          <w:b/>
          <w:sz w:val="24"/>
          <w:szCs w:val="24"/>
        </w:rPr>
        <w:t xml:space="preserve">Додаток 5 </w:t>
      </w:r>
      <w:r>
        <w:rPr>
          <w:rFonts w:ascii="Times New Roman" w:hAnsi="Times New Roman" w:eastAsia="Times New Roman"/>
          <w:spacing w:val="-6"/>
          <w:sz w:val="24"/>
          <w:szCs w:val="24"/>
          <w:lang w:eastAsia="zh-CN"/>
        </w:rPr>
        <w:t>зі змінами</w:t>
      </w:r>
      <w:r>
        <w:rPr>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Перелік документів, які вимагаються для підтвердження відповідності пропозиції учасника вимогам замовника </w:t>
      </w:r>
    </w:p>
    <w:p>
      <w:pPr>
        <w:spacing w:after="0"/>
        <w:rPr>
          <w:rFonts w:ascii="Times New Roman" w:hAnsi="Times New Roman"/>
          <w:sz w:val="24"/>
          <w:szCs w:val="24"/>
        </w:rPr>
      </w:pPr>
      <w:r>
        <w:rPr>
          <w:rFonts w:ascii="Times New Roman" w:hAnsi="Times New Roman"/>
          <w:b/>
          <w:sz w:val="24"/>
          <w:szCs w:val="24"/>
        </w:rPr>
        <w:t>Додаток  6</w:t>
      </w:r>
      <w:r>
        <w:rPr>
          <w:rFonts w:ascii="Times New Roman" w:hAnsi="Times New Roman" w:eastAsia="Times New Roman"/>
          <w:spacing w:val="-6"/>
          <w:sz w:val="24"/>
          <w:szCs w:val="24"/>
          <w:lang w:eastAsia="zh-CN"/>
        </w:rPr>
        <w:t xml:space="preserve"> зі змінами</w:t>
      </w:r>
      <w:r>
        <w:rPr>
          <w:rFonts w:ascii="Times New Roman" w:hAnsi="Times New Roman"/>
          <w:b/>
          <w:sz w:val="24"/>
          <w:szCs w:val="24"/>
        </w:rPr>
        <w:t xml:space="preserve">: </w:t>
      </w:r>
      <w:r>
        <w:rPr>
          <w:rFonts w:ascii="Times New Roman" w:hAnsi="Times New Roman"/>
          <w:sz w:val="24"/>
          <w:szCs w:val="24"/>
        </w:rPr>
        <w:t xml:space="preserve">Проєкт договору </w:t>
      </w:r>
    </w:p>
    <w:p>
      <w:pPr>
        <w:tabs>
          <w:tab w:val="left" w:pos="2208"/>
        </w:tabs>
        <w:spacing w:after="0" w:line="240" w:lineRule="auto"/>
        <w:rPr>
          <w:rFonts w:ascii="Times New Roman" w:hAnsi="Times New Roman"/>
          <w:b/>
          <w:sz w:val="24"/>
          <w:szCs w:val="24"/>
        </w:rPr>
      </w:pPr>
      <w:r>
        <w:rPr>
          <w:rFonts w:ascii="Times New Roman" w:hAnsi="Times New Roman"/>
          <w:b/>
          <w:sz w:val="24"/>
          <w:szCs w:val="24"/>
        </w:rPr>
        <w:t xml:space="preserve">Додаток 7 </w:t>
      </w:r>
      <w:r>
        <w:rPr>
          <w:rFonts w:ascii="Times New Roman" w:hAnsi="Times New Roman" w:eastAsia="Times New Roman"/>
          <w:spacing w:val="-6"/>
          <w:sz w:val="24"/>
          <w:szCs w:val="24"/>
          <w:lang w:eastAsia="zh-CN"/>
        </w:rPr>
        <w:t>зі змінами</w:t>
      </w:r>
      <w:r>
        <w:rPr>
          <w:b/>
          <w:sz w:val="24"/>
          <w:szCs w:val="24"/>
        </w:rPr>
        <w:t xml:space="preserve"> </w:t>
      </w:r>
      <w:r>
        <w:rPr>
          <w:rFonts w:ascii="Times New Roman" w:hAnsi="Times New Roman"/>
          <w:b/>
          <w:sz w:val="24"/>
          <w:szCs w:val="24"/>
        </w:rPr>
        <w:t xml:space="preserve">: </w:t>
      </w:r>
      <w:r>
        <w:rPr>
          <w:rFonts w:ascii="Times New Roman" w:hAnsi="Times New Roman"/>
          <w:sz w:val="24"/>
          <w:szCs w:val="24"/>
        </w:rPr>
        <w:t>Перелік документів, що має надати переможець торгів</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lang w:val="ru-RU"/>
        </w:rPr>
      </w:pPr>
    </w:p>
    <w:p>
      <w:pPr>
        <w:spacing w:after="0" w:line="240" w:lineRule="auto"/>
        <w:rPr>
          <w:rFonts w:ascii="Times New Roman" w:hAnsi="Times New Roman"/>
          <w:sz w:val="24"/>
          <w:szCs w:val="24"/>
          <w:lang w:val="ru-RU"/>
        </w:rPr>
      </w:pPr>
    </w:p>
    <w:p>
      <w:pPr>
        <w:spacing w:after="0" w:line="240" w:lineRule="auto"/>
        <w:rPr>
          <w:rFonts w:ascii="Times New Roman" w:hAnsi="Times New Roman"/>
          <w:sz w:val="24"/>
          <w:szCs w:val="24"/>
          <w:lang w:val="ru-RU"/>
        </w:rPr>
      </w:pPr>
    </w:p>
    <w:p>
      <w:pPr>
        <w:spacing w:after="0" w:line="240" w:lineRule="auto"/>
        <w:rPr>
          <w:rFonts w:ascii="Times New Roman" w:hAnsi="Times New Roman"/>
          <w:sz w:val="24"/>
          <w:szCs w:val="24"/>
          <w:lang w:val="ru-RU"/>
        </w:rPr>
      </w:pPr>
    </w:p>
    <w:sectPr>
      <w:footerReference r:id="rId5" w:type="default"/>
      <w:footerReference r:id="rId6" w:type="even"/>
      <w:pgSz w:w="11906" w:h="16838"/>
      <w:pgMar w:top="720" w:right="510"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OpenSymbol">
    <w:altName w:val="Arial Unicode MS"/>
    <w:panose1 w:val="00000000000000000000"/>
    <w:charset w:val="01"/>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ntiqua">
    <w:altName w:val="Times New Roman"/>
    <w:panose1 w:val="00000000000000000000"/>
    <w:charset w:val="CC"/>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21</w:t>
    </w:r>
    <w:r>
      <w:rPr>
        <w:rStyle w:val="23"/>
      </w:rP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
      <w:lvlJc w:val="left"/>
      <w:pPr>
        <w:tabs>
          <w:tab w:val="left" w:pos="1260"/>
        </w:tabs>
        <w:ind w:left="1260" w:hanging="900"/>
      </w:pPr>
      <w:rPr>
        <w:rFonts w:ascii="Courier New" w:hAnsi="Courier New" w:eastAsia="Times New Roman"/>
        <w:b w:val="0"/>
        <w:i w:val="0"/>
        <w:strike w:val="0"/>
        <w:color w:val="000000"/>
        <w:sz w:val="20"/>
        <w:u w:val="none"/>
      </w:rPr>
    </w:lvl>
    <w:lvl w:ilvl="1" w:tentative="0">
      <w:start w:val="1"/>
      <w:numFmt w:val="bullet"/>
      <w:pStyle w:val="3"/>
      <w:lvlText w:val="○"/>
      <w:lvlJc w:val="left"/>
      <w:pPr>
        <w:tabs>
          <w:tab w:val="left" w:pos="1440"/>
        </w:tabs>
        <w:ind w:left="1440" w:hanging="360"/>
      </w:pPr>
      <w:rPr>
        <w:rFonts w:ascii="Courier New" w:hAnsi="Courier New" w:eastAsia="Times New Roman"/>
        <w:b w:val="0"/>
        <w:i w:val="0"/>
        <w:strike w:val="0"/>
        <w:color w:val="000000"/>
        <w:sz w:val="20"/>
        <w:u w:val="none"/>
      </w:rPr>
    </w:lvl>
    <w:lvl w:ilvl="2" w:tentative="0">
      <w:start w:val="1"/>
      <w:numFmt w:val="bullet"/>
      <w:lvlText w:val="■"/>
      <w:lvlJc w:val="right"/>
      <w:pPr>
        <w:tabs>
          <w:tab w:val="left" w:pos="2160"/>
        </w:tabs>
        <w:ind w:left="2160" w:hanging="180"/>
      </w:pPr>
      <w:rPr>
        <w:rFonts w:ascii="Verdana" w:hAnsi="Verdana" w:eastAsia="Times New Roman"/>
        <w:b w:val="0"/>
        <w:i w:val="0"/>
        <w:strike w:val="0"/>
        <w:color w:val="000000"/>
        <w:sz w:val="20"/>
        <w:u w:val="none"/>
      </w:rPr>
    </w:lvl>
    <w:lvl w:ilvl="3" w:tentative="0">
      <w:start w:val="1"/>
      <w:numFmt w:val="bullet"/>
      <w:lvlText w:val="●"/>
      <w:lvlJc w:val="left"/>
      <w:pPr>
        <w:tabs>
          <w:tab w:val="left" w:pos="2880"/>
        </w:tabs>
        <w:ind w:left="2880" w:hanging="360"/>
      </w:pPr>
      <w:rPr>
        <w:rFonts w:ascii="Verdana" w:hAnsi="Verdana" w:eastAsia="Times New Roman"/>
        <w:b w:val="0"/>
        <w:i w:val="0"/>
        <w:strike w:val="0"/>
        <w:color w:val="000000"/>
        <w:sz w:val="20"/>
        <w:u w:val="none"/>
      </w:rPr>
    </w:lvl>
    <w:lvl w:ilvl="4" w:tentative="0">
      <w:start w:val="1"/>
      <w:numFmt w:val="bullet"/>
      <w:lvlText w:val="○"/>
      <w:lvlJc w:val="left"/>
      <w:pPr>
        <w:tabs>
          <w:tab w:val="left" w:pos="3600"/>
        </w:tabs>
        <w:ind w:left="3600" w:hanging="360"/>
      </w:pPr>
      <w:rPr>
        <w:rFonts w:ascii="Courier New" w:hAnsi="Courier New" w:eastAsia="Times New Roman"/>
        <w:b w:val="0"/>
        <w:i w:val="0"/>
        <w:strike w:val="0"/>
        <w:color w:val="000000"/>
        <w:sz w:val="20"/>
        <w:u w:val="none"/>
      </w:rPr>
    </w:lvl>
    <w:lvl w:ilvl="5" w:tentative="0">
      <w:start w:val="1"/>
      <w:numFmt w:val="bullet"/>
      <w:lvlText w:val="■"/>
      <w:lvlJc w:val="right"/>
      <w:pPr>
        <w:tabs>
          <w:tab w:val="left" w:pos="4320"/>
        </w:tabs>
        <w:ind w:left="4320" w:hanging="180"/>
      </w:pPr>
      <w:rPr>
        <w:rFonts w:ascii="Verdana" w:hAnsi="Verdana" w:eastAsia="Times New Roman"/>
        <w:b w:val="0"/>
        <w:i w:val="0"/>
        <w:strike w:val="0"/>
        <w:color w:val="000000"/>
        <w:sz w:val="20"/>
        <w:u w:val="none"/>
      </w:rPr>
    </w:lvl>
    <w:lvl w:ilvl="6" w:tentative="0">
      <w:start w:val="1"/>
      <w:numFmt w:val="bullet"/>
      <w:lvlText w:val="●"/>
      <w:lvlJc w:val="left"/>
      <w:pPr>
        <w:tabs>
          <w:tab w:val="left" w:pos="5040"/>
        </w:tabs>
        <w:ind w:left="5040" w:hanging="360"/>
      </w:pPr>
      <w:rPr>
        <w:rFonts w:ascii="Verdana" w:hAnsi="Verdana" w:eastAsia="Times New Roman"/>
        <w:b w:val="0"/>
        <w:i w:val="0"/>
        <w:strike w:val="0"/>
        <w:color w:val="000000"/>
        <w:sz w:val="20"/>
        <w:u w:val="none"/>
      </w:rPr>
    </w:lvl>
    <w:lvl w:ilvl="7" w:tentative="0">
      <w:start w:val="1"/>
      <w:numFmt w:val="bullet"/>
      <w:lvlText w:val="○"/>
      <w:lvlJc w:val="left"/>
      <w:pPr>
        <w:tabs>
          <w:tab w:val="left" w:pos="5760"/>
        </w:tabs>
        <w:ind w:left="5760" w:hanging="360"/>
      </w:pPr>
      <w:rPr>
        <w:rFonts w:ascii="Courier New" w:hAnsi="Courier New" w:eastAsia="Times New Roman"/>
        <w:b w:val="0"/>
        <w:i w:val="0"/>
        <w:strike w:val="0"/>
        <w:color w:val="000000"/>
        <w:sz w:val="20"/>
        <w:u w:val="none"/>
      </w:rPr>
    </w:lvl>
    <w:lvl w:ilvl="8" w:tentative="0">
      <w:start w:val="1"/>
      <w:numFmt w:val="bullet"/>
      <w:lvlText w:val="■"/>
      <w:lvlJc w:val="right"/>
      <w:pPr>
        <w:tabs>
          <w:tab w:val="left" w:pos="6480"/>
        </w:tabs>
        <w:ind w:left="6480" w:hanging="180"/>
      </w:pPr>
      <w:rPr>
        <w:rFonts w:ascii="Verdana" w:hAnsi="Verdana" w:eastAsia="Times New Roman"/>
        <w:b w:val="0"/>
        <w:i w:val="0"/>
        <w:strike w:val="0"/>
        <w:color w:val="000000"/>
        <w:sz w:val="20"/>
        <w:u w:val="none"/>
      </w:rPr>
    </w:lvl>
  </w:abstractNum>
  <w:abstractNum w:abstractNumId="1">
    <w:nsid w:val="266476E6"/>
    <w:multiLevelType w:val="multilevel"/>
    <w:tmpl w:val="266476E6"/>
    <w:lvl w:ilvl="0" w:tentative="0">
      <w:start w:val="1"/>
      <w:numFmt w:val="bullet"/>
      <w:lvlText w:val="-"/>
      <w:lvlJc w:val="left"/>
      <w:pPr>
        <w:ind w:left="559" w:hanging="360"/>
      </w:pPr>
      <w:rPr>
        <w:rFonts w:hint="default" w:ascii="Times New Roman" w:hAnsi="Times New Roman" w:eastAsia="Times New Roman" w:cs="Times New Roman"/>
      </w:rPr>
    </w:lvl>
    <w:lvl w:ilvl="1" w:tentative="0">
      <w:start w:val="1"/>
      <w:numFmt w:val="bullet"/>
      <w:lvlText w:val="o"/>
      <w:lvlJc w:val="left"/>
      <w:pPr>
        <w:ind w:left="1279" w:hanging="360"/>
      </w:pPr>
      <w:rPr>
        <w:rFonts w:hint="default" w:ascii="Courier New" w:hAnsi="Courier New" w:cs="Courier New"/>
      </w:rPr>
    </w:lvl>
    <w:lvl w:ilvl="2" w:tentative="0">
      <w:start w:val="1"/>
      <w:numFmt w:val="bullet"/>
      <w:lvlText w:val=""/>
      <w:lvlJc w:val="left"/>
      <w:pPr>
        <w:ind w:left="1999" w:hanging="360"/>
      </w:pPr>
      <w:rPr>
        <w:rFonts w:hint="default" w:ascii="Wingdings" w:hAnsi="Wingdings"/>
      </w:rPr>
    </w:lvl>
    <w:lvl w:ilvl="3" w:tentative="0">
      <w:start w:val="1"/>
      <w:numFmt w:val="bullet"/>
      <w:lvlText w:val=""/>
      <w:lvlJc w:val="left"/>
      <w:pPr>
        <w:ind w:left="2719" w:hanging="360"/>
      </w:pPr>
      <w:rPr>
        <w:rFonts w:hint="default" w:ascii="Symbol" w:hAnsi="Symbol"/>
      </w:rPr>
    </w:lvl>
    <w:lvl w:ilvl="4" w:tentative="0">
      <w:start w:val="1"/>
      <w:numFmt w:val="bullet"/>
      <w:lvlText w:val="o"/>
      <w:lvlJc w:val="left"/>
      <w:pPr>
        <w:ind w:left="3439" w:hanging="360"/>
      </w:pPr>
      <w:rPr>
        <w:rFonts w:hint="default" w:ascii="Courier New" w:hAnsi="Courier New" w:cs="Courier New"/>
      </w:rPr>
    </w:lvl>
    <w:lvl w:ilvl="5" w:tentative="0">
      <w:start w:val="1"/>
      <w:numFmt w:val="bullet"/>
      <w:lvlText w:val=""/>
      <w:lvlJc w:val="left"/>
      <w:pPr>
        <w:ind w:left="4159" w:hanging="360"/>
      </w:pPr>
      <w:rPr>
        <w:rFonts w:hint="default" w:ascii="Wingdings" w:hAnsi="Wingdings"/>
      </w:rPr>
    </w:lvl>
    <w:lvl w:ilvl="6" w:tentative="0">
      <w:start w:val="1"/>
      <w:numFmt w:val="bullet"/>
      <w:lvlText w:val=""/>
      <w:lvlJc w:val="left"/>
      <w:pPr>
        <w:ind w:left="4879" w:hanging="360"/>
      </w:pPr>
      <w:rPr>
        <w:rFonts w:hint="default" w:ascii="Symbol" w:hAnsi="Symbol"/>
      </w:rPr>
    </w:lvl>
    <w:lvl w:ilvl="7" w:tentative="0">
      <w:start w:val="1"/>
      <w:numFmt w:val="bullet"/>
      <w:lvlText w:val="o"/>
      <w:lvlJc w:val="left"/>
      <w:pPr>
        <w:ind w:left="5599" w:hanging="360"/>
      </w:pPr>
      <w:rPr>
        <w:rFonts w:hint="default" w:ascii="Courier New" w:hAnsi="Courier New" w:cs="Courier New"/>
      </w:rPr>
    </w:lvl>
    <w:lvl w:ilvl="8" w:tentative="0">
      <w:start w:val="1"/>
      <w:numFmt w:val="bullet"/>
      <w:lvlText w:val=""/>
      <w:lvlJc w:val="left"/>
      <w:pPr>
        <w:ind w:left="6319"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0130B3"/>
    <w:rsid w:val="0000000C"/>
    <w:rsid w:val="0000344E"/>
    <w:rsid w:val="0000636D"/>
    <w:rsid w:val="00007288"/>
    <w:rsid w:val="000077C8"/>
    <w:rsid w:val="00010055"/>
    <w:rsid w:val="0001068E"/>
    <w:rsid w:val="000106FA"/>
    <w:rsid w:val="000130B3"/>
    <w:rsid w:val="00013363"/>
    <w:rsid w:val="00013390"/>
    <w:rsid w:val="00013E12"/>
    <w:rsid w:val="0001550B"/>
    <w:rsid w:val="00017EB3"/>
    <w:rsid w:val="00017FC4"/>
    <w:rsid w:val="00021E01"/>
    <w:rsid w:val="00022344"/>
    <w:rsid w:val="000241DB"/>
    <w:rsid w:val="000255DB"/>
    <w:rsid w:val="000279CC"/>
    <w:rsid w:val="00030890"/>
    <w:rsid w:val="000321EC"/>
    <w:rsid w:val="0003729B"/>
    <w:rsid w:val="00037515"/>
    <w:rsid w:val="00040242"/>
    <w:rsid w:val="00041B6C"/>
    <w:rsid w:val="000420F9"/>
    <w:rsid w:val="00044368"/>
    <w:rsid w:val="00044E0A"/>
    <w:rsid w:val="00046149"/>
    <w:rsid w:val="0005038C"/>
    <w:rsid w:val="000564AE"/>
    <w:rsid w:val="000566E0"/>
    <w:rsid w:val="000570E5"/>
    <w:rsid w:val="000572B1"/>
    <w:rsid w:val="00057F73"/>
    <w:rsid w:val="00060F93"/>
    <w:rsid w:val="00064A22"/>
    <w:rsid w:val="00071228"/>
    <w:rsid w:val="000716C4"/>
    <w:rsid w:val="00071DCA"/>
    <w:rsid w:val="0007239C"/>
    <w:rsid w:val="00076F27"/>
    <w:rsid w:val="0007727B"/>
    <w:rsid w:val="000824DC"/>
    <w:rsid w:val="00084565"/>
    <w:rsid w:val="0008507C"/>
    <w:rsid w:val="000919B9"/>
    <w:rsid w:val="000930DF"/>
    <w:rsid w:val="00093B39"/>
    <w:rsid w:val="000956D3"/>
    <w:rsid w:val="0009769F"/>
    <w:rsid w:val="000A3448"/>
    <w:rsid w:val="000A43B4"/>
    <w:rsid w:val="000A4F2F"/>
    <w:rsid w:val="000A6B14"/>
    <w:rsid w:val="000A7518"/>
    <w:rsid w:val="000B399D"/>
    <w:rsid w:val="000B60EC"/>
    <w:rsid w:val="000B63E8"/>
    <w:rsid w:val="000B72BB"/>
    <w:rsid w:val="000C3E12"/>
    <w:rsid w:val="000C4A3D"/>
    <w:rsid w:val="000C59CF"/>
    <w:rsid w:val="000C69BC"/>
    <w:rsid w:val="000D0807"/>
    <w:rsid w:val="000D4732"/>
    <w:rsid w:val="000D48A1"/>
    <w:rsid w:val="000E06D1"/>
    <w:rsid w:val="000F0EE5"/>
    <w:rsid w:val="000F2EFB"/>
    <w:rsid w:val="000F3B28"/>
    <w:rsid w:val="0010152A"/>
    <w:rsid w:val="00104721"/>
    <w:rsid w:val="00104783"/>
    <w:rsid w:val="00105AB2"/>
    <w:rsid w:val="00106F9D"/>
    <w:rsid w:val="0010704E"/>
    <w:rsid w:val="00107BB7"/>
    <w:rsid w:val="001102F2"/>
    <w:rsid w:val="001125A2"/>
    <w:rsid w:val="00112659"/>
    <w:rsid w:val="00113E8D"/>
    <w:rsid w:val="00114A77"/>
    <w:rsid w:val="00115351"/>
    <w:rsid w:val="00115D8D"/>
    <w:rsid w:val="00120BEA"/>
    <w:rsid w:val="0012139B"/>
    <w:rsid w:val="00124423"/>
    <w:rsid w:val="0012728A"/>
    <w:rsid w:val="00127D11"/>
    <w:rsid w:val="00130E73"/>
    <w:rsid w:val="00132011"/>
    <w:rsid w:val="00136483"/>
    <w:rsid w:val="0014004D"/>
    <w:rsid w:val="0014017A"/>
    <w:rsid w:val="00140473"/>
    <w:rsid w:val="00143B1C"/>
    <w:rsid w:val="0014416D"/>
    <w:rsid w:val="00144223"/>
    <w:rsid w:val="00146338"/>
    <w:rsid w:val="00150BB1"/>
    <w:rsid w:val="001520E6"/>
    <w:rsid w:val="00152954"/>
    <w:rsid w:val="00154631"/>
    <w:rsid w:val="00154878"/>
    <w:rsid w:val="00155834"/>
    <w:rsid w:val="0016105E"/>
    <w:rsid w:val="00161960"/>
    <w:rsid w:val="00162979"/>
    <w:rsid w:val="0016322D"/>
    <w:rsid w:val="00163DF9"/>
    <w:rsid w:val="00170807"/>
    <w:rsid w:val="00171189"/>
    <w:rsid w:val="00172846"/>
    <w:rsid w:val="0017331E"/>
    <w:rsid w:val="00173665"/>
    <w:rsid w:val="001736A2"/>
    <w:rsid w:val="001769F7"/>
    <w:rsid w:val="00180D05"/>
    <w:rsid w:val="001818C8"/>
    <w:rsid w:val="00183544"/>
    <w:rsid w:val="00183F9F"/>
    <w:rsid w:val="00186D55"/>
    <w:rsid w:val="0018770C"/>
    <w:rsid w:val="001877DB"/>
    <w:rsid w:val="00187DC9"/>
    <w:rsid w:val="001912DF"/>
    <w:rsid w:val="00191428"/>
    <w:rsid w:val="00192EF6"/>
    <w:rsid w:val="001953F8"/>
    <w:rsid w:val="001A099B"/>
    <w:rsid w:val="001A0C48"/>
    <w:rsid w:val="001A23B8"/>
    <w:rsid w:val="001A3389"/>
    <w:rsid w:val="001A3E1C"/>
    <w:rsid w:val="001A42DB"/>
    <w:rsid w:val="001A4A0E"/>
    <w:rsid w:val="001A5201"/>
    <w:rsid w:val="001B3104"/>
    <w:rsid w:val="001B6D1F"/>
    <w:rsid w:val="001B719D"/>
    <w:rsid w:val="001C03BF"/>
    <w:rsid w:val="001C4F49"/>
    <w:rsid w:val="001C51C4"/>
    <w:rsid w:val="001C5779"/>
    <w:rsid w:val="001D010D"/>
    <w:rsid w:val="001D1962"/>
    <w:rsid w:val="001D3495"/>
    <w:rsid w:val="001D3B0A"/>
    <w:rsid w:val="001D4006"/>
    <w:rsid w:val="001D51A4"/>
    <w:rsid w:val="001D5FB8"/>
    <w:rsid w:val="001D783C"/>
    <w:rsid w:val="001D7C25"/>
    <w:rsid w:val="001E141D"/>
    <w:rsid w:val="001E1CF1"/>
    <w:rsid w:val="001E2461"/>
    <w:rsid w:val="001E35A0"/>
    <w:rsid w:val="001E4008"/>
    <w:rsid w:val="001E4E5C"/>
    <w:rsid w:val="001E5CA1"/>
    <w:rsid w:val="001E6D38"/>
    <w:rsid w:val="001E78A3"/>
    <w:rsid w:val="001F0057"/>
    <w:rsid w:val="001F007D"/>
    <w:rsid w:val="001F09BF"/>
    <w:rsid w:val="001F22B6"/>
    <w:rsid w:val="001F3082"/>
    <w:rsid w:val="001F35F2"/>
    <w:rsid w:val="001F5AB9"/>
    <w:rsid w:val="001F67BC"/>
    <w:rsid w:val="00200422"/>
    <w:rsid w:val="00201451"/>
    <w:rsid w:val="00202E4F"/>
    <w:rsid w:val="00203DD0"/>
    <w:rsid w:val="00204407"/>
    <w:rsid w:val="00205367"/>
    <w:rsid w:val="00206977"/>
    <w:rsid w:val="00206E3F"/>
    <w:rsid w:val="002079DE"/>
    <w:rsid w:val="00207D68"/>
    <w:rsid w:val="00213EE4"/>
    <w:rsid w:val="00214198"/>
    <w:rsid w:val="00217B54"/>
    <w:rsid w:val="00217C81"/>
    <w:rsid w:val="00224380"/>
    <w:rsid w:val="00224401"/>
    <w:rsid w:val="00224E47"/>
    <w:rsid w:val="00224F37"/>
    <w:rsid w:val="00225383"/>
    <w:rsid w:val="002254A2"/>
    <w:rsid w:val="0022696C"/>
    <w:rsid w:val="00230290"/>
    <w:rsid w:val="002306A9"/>
    <w:rsid w:val="00230AF0"/>
    <w:rsid w:val="00232D11"/>
    <w:rsid w:val="00235A95"/>
    <w:rsid w:val="0023614A"/>
    <w:rsid w:val="0023668B"/>
    <w:rsid w:val="00236B5E"/>
    <w:rsid w:val="00236DB8"/>
    <w:rsid w:val="00240229"/>
    <w:rsid w:val="0024043A"/>
    <w:rsid w:val="002412B6"/>
    <w:rsid w:val="00244017"/>
    <w:rsid w:val="00252F73"/>
    <w:rsid w:val="00253814"/>
    <w:rsid w:val="00260667"/>
    <w:rsid w:val="002617B2"/>
    <w:rsid w:val="00262A35"/>
    <w:rsid w:val="002632AE"/>
    <w:rsid w:val="00263573"/>
    <w:rsid w:val="00264426"/>
    <w:rsid w:val="00265693"/>
    <w:rsid w:val="0026630A"/>
    <w:rsid w:val="002708F3"/>
    <w:rsid w:val="0027162A"/>
    <w:rsid w:val="00271F6F"/>
    <w:rsid w:val="00272142"/>
    <w:rsid w:val="002736EB"/>
    <w:rsid w:val="00275E99"/>
    <w:rsid w:val="002770A1"/>
    <w:rsid w:val="002773F9"/>
    <w:rsid w:val="00281562"/>
    <w:rsid w:val="00281599"/>
    <w:rsid w:val="002816CD"/>
    <w:rsid w:val="002827A6"/>
    <w:rsid w:val="00282B02"/>
    <w:rsid w:val="002868F3"/>
    <w:rsid w:val="00287DCC"/>
    <w:rsid w:val="002912C0"/>
    <w:rsid w:val="00292DE8"/>
    <w:rsid w:val="002943ED"/>
    <w:rsid w:val="00294D5A"/>
    <w:rsid w:val="00297913"/>
    <w:rsid w:val="002A609C"/>
    <w:rsid w:val="002A62C0"/>
    <w:rsid w:val="002B007B"/>
    <w:rsid w:val="002B1D7A"/>
    <w:rsid w:val="002B34F1"/>
    <w:rsid w:val="002B4095"/>
    <w:rsid w:val="002B5606"/>
    <w:rsid w:val="002B5C2D"/>
    <w:rsid w:val="002B5E2C"/>
    <w:rsid w:val="002C0108"/>
    <w:rsid w:val="002C0DDB"/>
    <w:rsid w:val="002C1A39"/>
    <w:rsid w:val="002C1EE7"/>
    <w:rsid w:val="002C2CD7"/>
    <w:rsid w:val="002C38A8"/>
    <w:rsid w:val="002C60C8"/>
    <w:rsid w:val="002C63E9"/>
    <w:rsid w:val="002C7833"/>
    <w:rsid w:val="002D045D"/>
    <w:rsid w:val="002D4C94"/>
    <w:rsid w:val="002E08F9"/>
    <w:rsid w:val="002E1A0C"/>
    <w:rsid w:val="002F02EF"/>
    <w:rsid w:val="002F2991"/>
    <w:rsid w:val="002F5CFD"/>
    <w:rsid w:val="0030003F"/>
    <w:rsid w:val="00300EC1"/>
    <w:rsid w:val="003011C2"/>
    <w:rsid w:val="0030284F"/>
    <w:rsid w:val="0030377E"/>
    <w:rsid w:val="003045CD"/>
    <w:rsid w:val="00305FA2"/>
    <w:rsid w:val="0030747F"/>
    <w:rsid w:val="003122BE"/>
    <w:rsid w:val="003128B5"/>
    <w:rsid w:val="003143E5"/>
    <w:rsid w:val="00314CF5"/>
    <w:rsid w:val="00316C93"/>
    <w:rsid w:val="00317290"/>
    <w:rsid w:val="003224E8"/>
    <w:rsid w:val="00325A01"/>
    <w:rsid w:val="003277A7"/>
    <w:rsid w:val="00327AFE"/>
    <w:rsid w:val="0033253E"/>
    <w:rsid w:val="00333537"/>
    <w:rsid w:val="003346CE"/>
    <w:rsid w:val="00337892"/>
    <w:rsid w:val="0034154A"/>
    <w:rsid w:val="00342780"/>
    <w:rsid w:val="0034463E"/>
    <w:rsid w:val="00344954"/>
    <w:rsid w:val="003502E6"/>
    <w:rsid w:val="00352088"/>
    <w:rsid w:val="00352896"/>
    <w:rsid w:val="003555D6"/>
    <w:rsid w:val="003627DE"/>
    <w:rsid w:val="00364210"/>
    <w:rsid w:val="003707D3"/>
    <w:rsid w:val="003708C3"/>
    <w:rsid w:val="0037329A"/>
    <w:rsid w:val="00373D03"/>
    <w:rsid w:val="00374F2B"/>
    <w:rsid w:val="00380276"/>
    <w:rsid w:val="0038034C"/>
    <w:rsid w:val="00380A63"/>
    <w:rsid w:val="00383267"/>
    <w:rsid w:val="00383D67"/>
    <w:rsid w:val="00384B86"/>
    <w:rsid w:val="00387DF1"/>
    <w:rsid w:val="003911B6"/>
    <w:rsid w:val="00395BE6"/>
    <w:rsid w:val="00396160"/>
    <w:rsid w:val="003A5B1F"/>
    <w:rsid w:val="003A61AD"/>
    <w:rsid w:val="003B0A30"/>
    <w:rsid w:val="003B1D77"/>
    <w:rsid w:val="003B2E81"/>
    <w:rsid w:val="003B5BBD"/>
    <w:rsid w:val="003B7A6F"/>
    <w:rsid w:val="003C0F1D"/>
    <w:rsid w:val="003C139D"/>
    <w:rsid w:val="003C4B95"/>
    <w:rsid w:val="003C4E59"/>
    <w:rsid w:val="003C5F1E"/>
    <w:rsid w:val="003C6C0F"/>
    <w:rsid w:val="003D24D1"/>
    <w:rsid w:val="003D74A9"/>
    <w:rsid w:val="003D7A1A"/>
    <w:rsid w:val="003E04AF"/>
    <w:rsid w:val="003E2F72"/>
    <w:rsid w:val="003E5B2F"/>
    <w:rsid w:val="003E6552"/>
    <w:rsid w:val="003E67F1"/>
    <w:rsid w:val="003E7B0B"/>
    <w:rsid w:val="003E7BF3"/>
    <w:rsid w:val="003F02F4"/>
    <w:rsid w:val="003F0B1E"/>
    <w:rsid w:val="003F171A"/>
    <w:rsid w:val="003F1927"/>
    <w:rsid w:val="003F5000"/>
    <w:rsid w:val="003F5F0E"/>
    <w:rsid w:val="00400397"/>
    <w:rsid w:val="00403AD7"/>
    <w:rsid w:val="0040426D"/>
    <w:rsid w:val="00405694"/>
    <w:rsid w:val="004057D2"/>
    <w:rsid w:val="00411352"/>
    <w:rsid w:val="004115CE"/>
    <w:rsid w:val="00412D7E"/>
    <w:rsid w:val="004141AC"/>
    <w:rsid w:val="004152AB"/>
    <w:rsid w:val="0041747A"/>
    <w:rsid w:val="00417761"/>
    <w:rsid w:val="00420671"/>
    <w:rsid w:val="00421B27"/>
    <w:rsid w:val="00425861"/>
    <w:rsid w:val="0042602B"/>
    <w:rsid w:val="004261A9"/>
    <w:rsid w:val="00431DB1"/>
    <w:rsid w:val="00432FB8"/>
    <w:rsid w:val="00433903"/>
    <w:rsid w:val="004344B4"/>
    <w:rsid w:val="00434B89"/>
    <w:rsid w:val="00441145"/>
    <w:rsid w:val="00443432"/>
    <w:rsid w:val="00445B6A"/>
    <w:rsid w:val="00446343"/>
    <w:rsid w:val="00450683"/>
    <w:rsid w:val="004507E3"/>
    <w:rsid w:val="004510F8"/>
    <w:rsid w:val="0045125F"/>
    <w:rsid w:val="00451323"/>
    <w:rsid w:val="0045220E"/>
    <w:rsid w:val="00452A20"/>
    <w:rsid w:val="004530EE"/>
    <w:rsid w:val="004544EB"/>
    <w:rsid w:val="00456713"/>
    <w:rsid w:val="004567E3"/>
    <w:rsid w:val="00457B0E"/>
    <w:rsid w:val="00461D57"/>
    <w:rsid w:val="0046430E"/>
    <w:rsid w:val="00465628"/>
    <w:rsid w:val="004669C8"/>
    <w:rsid w:val="004708EA"/>
    <w:rsid w:val="00470946"/>
    <w:rsid w:val="00477D77"/>
    <w:rsid w:val="0048034A"/>
    <w:rsid w:val="00481C0B"/>
    <w:rsid w:val="00483B73"/>
    <w:rsid w:val="004877EF"/>
    <w:rsid w:val="00490DA1"/>
    <w:rsid w:val="004920EC"/>
    <w:rsid w:val="0049388F"/>
    <w:rsid w:val="00494F2A"/>
    <w:rsid w:val="00496B16"/>
    <w:rsid w:val="0049746D"/>
    <w:rsid w:val="004A176B"/>
    <w:rsid w:val="004A3B19"/>
    <w:rsid w:val="004A4AEE"/>
    <w:rsid w:val="004B2E7C"/>
    <w:rsid w:val="004B4EBB"/>
    <w:rsid w:val="004B5A10"/>
    <w:rsid w:val="004C442F"/>
    <w:rsid w:val="004C5645"/>
    <w:rsid w:val="004C5976"/>
    <w:rsid w:val="004D10D0"/>
    <w:rsid w:val="004D15B7"/>
    <w:rsid w:val="004D21A9"/>
    <w:rsid w:val="004D2B5B"/>
    <w:rsid w:val="004D3E0D"/>
    <w:rsid w:val="004D6D4E"/>
    <w:rsid w:val="004E1C5D"/>
    <w:rsid w:val="004E64E0"/>
    <w:rsid w:val="004E6DEF"/>
    <w:rsid w:val="004E7997"/>
    <w:rsid w:val="004F2D3D"/>
    <w:rsid w:val="004F35F3"/>
    <w:rsid w:val="004F37D8"/>
    <w:rsid w:val="004F4C92"/>
    <w:rsid w:val="004F53D7"/>
    <w:rsid w:val="004F686A"/>
    <w:rsid w:val="004F6FED"/>
    <w:rsid w:val="00502D2F"/>
    <w:rsid w:val="00511780"/>
    <w:rsid w:val="005134D6"/>
    <w:rsid w:val="00514F1F"/>
    <w:rsid w:val="00517057"/>
    <w:rsid w:val="00520003"/>
    <w:rsid w:val="00520783"/>
    <w:rsid w:val="00525110"/>
    <w:rsid w:val="0052526E"/>
    <w:rsid w:val="00525849"/>
    <w:rsid w:val="00526639"/>
    <w:rsid w:val="00527870"/>
    <w:rsid w:val="00530992"/>
    <w:rsid w:val="00531B0C"/>
    <w:rsid w:val="00533734"/>
    <w:rsid w:val="00534634"/>
    <w:rsid w:val="00534A98"/>
    <w:rsid w:val="00535F6C"/>
    <w:rsid w:val="00536FDC"/>
    <w:rsid w:val="005417C3"/>
    <w:rsid w:val="0054358E"/>
    <w:rsid w:val="0054493E"/>
    <w:rsid w:val="00544C6A"/>
    <w:rsid w:val="0055056E"/>
    <w:rsid w:val="00551EC7"/>
    <w:rsid w:val="0055475A"/>
    <w:rsid w:val="005550C7"/>
    <w:rsid w:val="00555B50"/>
    <w:rsid w:val="00556C42"/>
    <w:rsid w:val="00556E0C"/>
    <w:rsid w:val="00562324"/>
    <w:rsid w:val="0056372C"/>
    <w:rsid w:val="0056413D"/>
    <w:rsid w:val="00564633"/>
    <w:rsid w:val="0056555E"/>
    <w:rsid w:val="00565B02"/>
    <w:rsid w:val="00565D69"/>
    <w:rsid w:val="00566FBD"/>
    <w:rsid w:val="00567240"/>
    <w:rsid w:val="005672C0"/>
    <w:rsid w:val="005672E1"/>
    <w:rsid w:val="00567EB7"/>
    <w:rsid w:val="00572129"/>
    <w:rsid w:val="00572436"/>
    <w:rsid w:val="00575F5D"/>
    <w:rsid w:val="00582584"/>
    <w:rsid w:val="005867BE"/>
    <w:rsid w:val="00586C6C"/>
    <w:rsid w:val="00587C95"/>
    <w:rsid w:val="005905E8"/>
    <w:rsid w:val="0059288B"/>
    <w:rsid w:val="005A0730"/>
    <w:rsid w:val="005A16CE"/>
    <w:rsid w:val="005A198A"/>
    <w:rsid w:val="005A2230"/>
    <w:rsid w:val="005A2D94"/>
    <w:rsid w:val="005A3FDD"/>
    <w:rsid w:val="005A4C11"/>
    <w:rsid w:val="005A64BF"/>
    <w:rsid w:val="005B20DD"/>
    <w:rsid w:val="005B3748"/>
    <w:rsid w:val="005B3CAC"/>
    <w:rsid w:val="005B3E82"/>
    <w:rsid w:val="005B526C"/>
    <w:rsid w:val="005B610B"/>
    <w:rsid w:val="005B6210"/>
    <w:rsid w:val="005B6803"/>
    <w:rsid w:val="005B6EC0"/>
    <w:rsid w:val="005B77C4"/>
    <w:rsid w:val="005B7CA2"/>
    <w:rsid w:val="005B7CA7"/>
    <w:rsid w:val="005B7D33"/>
    <w:rsid w:val="005C17D9"/>
    <w:rsid w:val="005C1B4C"/>
    <w:rsid w:val="005C34A0"/>
    <w:rsid w:val="005C6143"/>
    <w:rsid w:val="005C6653"/>
    <w:rsid w:val="005C6B0A"/>
    <w:rsid w:val="005C6D06"/>
    <w:rsid w:val="005C6EA6"/>
    <w:rsid w:val="005C6FC1"/>
    <w:rsid w:val="005C7BDA"/>
    <w:rsid w:val="005D4498"/>
    <w:rsid w:val="005D613D"/>
    <w:rsid w:val="005D6B3E"/>
    <w:rsid w:val="005D70F1"/>
    <w:rsid w:val="005E26FC"/>
    <w:rsid w:val="005E276D"/>
    <w:rsid w:val="005E33B7"/>
    <w:rsid w:val="005E4662"/>
    <w:rsid w:val="005E7C23"/>
    <w:rsid w:val="005F286D"/>
    <w:rsid w:val="006000F9"/>
    <w:rsid w:val="00600CCC"/>
    <w:rsid w:val="006056DA"/>
    <w:rsid w:val="00607C07"/>
    <w:rsid w:val="00607E26"/>
    <w:rsid w:val="006121E1"/>
    <w:rsid w:val="00612928"/>
    <w:rsid w:val="00614260"/>
    <w:rsid w:val="00615DB6"/>
    <w:rsid w:val="0062080B"/>
    <w:rsid w:val="006247B8"/>
    <w:rsid w:val="006262DF"/>
    <w:rsid w:val="00632842"/>
    <w:rsid w:val="0063468E"/>
    <w:rsid w:val="00635106"/>
    <w:rsid w:val="0063522F"/>
    <w:rsid w:val="006367FA"/>
    <w:rsid w:val="00636F71"/>
    <w:rsid w:val="006370BF"/>
    <w:rsid w:val="00644BAC"/>
    <w:rsid w:val="00644E78"/>
    <w:rsid w:val="00646949"/>
    <w:rsid w:val="0065046D"/>
    <w:rsid w:val="00650541"/>
    <w:rsid w:val="00650850"/>
    <w:rsid w:val="00650A30"/>
    <w:rsid w:val="0065128F"/>
    <w:rsid w:val="00651751"/>
    <w:rsid w:val="00652BFB"/>
    <w:rsid w:val="0065332F"/>
    <w:rsid w:val="00653D46"/>
    <w:rsid w:val="0065515B"/>
    <w:rsid w:val="006555C3"/>
    <w:rsid w:val="00655D85"/>
    <w:rsid w:val="00656A19"/>
    <w:rsid w:val="00670295"/>
    <w:rsid w:val="00670853"/>
    <w:rsid w:val="00672B91"/>
    <w:rsid w:val="006738F8"/>
    <w:rsid w:val="00674DBA"/>
    <w:rsid w:val="00674EAC"/>
    <w:rsid w:val="00675793"/>
    <w:rsid w:val="0067672C"/>
    <w:rsid w:val="00677E09"/>
    <w:rsid w:val="00680B11"/>
    <w:rsid w:val="006811DF"/>
    <w:rsid w:val="006812B2"/>
    <w:rsid w:val="006828AB"/>
    <w:rsid w:val="006830FA"/>
    <w:rsid w:val="00684F57"/>
    <w:rsid w:val="00685CF7"/>
    <w:rsid w:val="00686668"/>
    <w:rsid w:val="006872FD"/>
    <w:rsid w:val="00687EEA"/>
    <w:rsid w:val="006904BC"/>
    <w:rsid w:val="00691A65"/>
    <w:rsid w:val="00692DCB"/>
    <w:rsid w:val="006947DA"/>
    <w:rsid w:val="00696FF3"/>
    <w:rsid w:val="00697FAD"/>
    <w:rsid w:val="006A142D"/>
    <w:rsid w:val="006A1436"/>
    <w:rsid w:val="006A2278"/>
    <w:rsid w:val="006A2D4A"/>
    <w:rsid w:val="006A531E"/>
    <w:rsid w:val="006A745A"/>
    <w:rsid w:val="006A7F00"/>
    <w:rsid w:val="006B2155"/>
    <w:rsid w:val="006B249B"/>
    <w:rsid w:val="006B43C0"/>
    <w:rsid w:val="006B634A"/>
    <w:rsid w:val="006C0591"/>
    <w:rsid w:val="006C0FAC"/>
    <w:rsid w:val="006C1C8E"/>
    <w:rsid w:val="006C3832"/>
    <w:rsid w:val="006C4CF5"/>
    <w:rsid w:val="006C4F58"/>
    <w:rsid w:val="006C5E59"/>
    <w:rsid w:val="006C6992"/>
    <w:rsid w:val="006C6C17"/>
    <w:rsid w:val="006C7450"/>
    <w:rsid w:val="006C782E"/>
    <w:rsid w:val="006C7A0B"/>
    <w:rsid w:val="006D09AB"/>
    <w:rsid w:val="006D0E1A"/>
    <w:rsid w:val="006D147F"/>
    <w:rsid w:val="006D1C3F"/>
    <w:rsid w:val="006D3FD8"/>
    <w:rsid w:val="006D421F"/>
    <w:rsid w:val="006D433D"/>
    <w:rsid w:val="006D60EF"/>
    <w:rsid w:val="006E0C71"/>
    <w:rsid w:val="006E2C36"/>
    <w:rsid w:val="006E5E58"/>
    <w:rsid w:val="006F1817"/>
    <w:rsid w:val="006F3748"/>
    <w:rsid w:val="006F379D"/>
    <w:rsid w:val="006F4717"/>
    <w:rsid w:val="00700FD7"/>
    <w:rsid w:val="00701B75"/>
    <w:rsid w:val="00702519"/>
    <w:rsid w:val="007028EA"/>
    <w:rsid w:val="00705831"/>
    <w:rsid w:val="00706327"/>
    <w:rsid w:val="007107E1"/>
    <w:rsid w:val="00711FDD"/>
    <w:rsid w:val="007147C6"/>
    <w:rsid w:val="00714DCB"/>
    <w:rsid w:val="007163C1"/>
    <w:rsid w:val="0071687A"/>
    <w:rsid w:val="00720383"/>
    <w:rsid w:val="00720E36"/>
    <w:rsid w:val="007215B6"/>
    <w:rsid w:val="00721A59"/>
    <w:rsid w:val="00723369"/>
    <w:rsid w:val="00723553"/>
    <w:rsid w:val="007248EC"/>
    <w:rsid w:val="00724D90"/>
    <w:rsid w:val="0072712E"/>
    <w:rsid w:val="007273A6"/>
    <w:rsid w:val="00727E63"/>
    <w:rsid w:val="00730451"/>
    <w:rsid w:val="00732168"/>
    <w:rsid w:val="0073239C"/>
    <w:rsid w:val="007326A7"/>
    <w:rsid w:val="00733EC6"/>
    <w:rsid w:val="00735470"/>
    <w:rsid w:val="00735560"/>
    <w:rsid w:val="0073597B"/>
    <w:rsid w:val="00735F6C"/>
    <w:rsid w:val="00737798"/>
    <w:rsid w:val="007405B4"/>
    <w:rsid w:val="007418E0"/>
    <w:rsid w:val="00742B81"/>
    <w:rsid w:val="007435CD"/>
    <w:rsid w:val="0074449D"/>
    <w:rsid w:val="00746814"/>
    <w:rsid w:val="007501C9"/>
    <w:rsid w:val="00750E1D"/>
    <w:rsid w:val="007532CD"/>
    <w:rsid w:val="0075395D"/>
    <w:rsid w:val="007542BE"/>
    <w:rsid w:val="007555ED"/>
    <w:rsid w:val="00755D95"/>
    <w:rsid w:val="00756078"/>
    <w:rsid w:val="007615EF"/>
    <w:rsid w:val="007620E9"/>
    <w:rsid w:val="0077161F"/>
    <w:rsid w:val="007732E8"/>
    <w:rsid w:val="00775492"/>
    <w:rsid w:val="00775C29"/>
    <w:rsid w:val="0078017F"/>
    <w:rsid w:val="00780DC1"/>
    <w:rsid w:val="0078102B"/>
    <w:rsid w:val="007810D3"/>
    <w:rsid w:val="007828F8"/>
    <w:rsid w:val="00782AA5"/>
    <w:rsid w:val="00784586"/>
    <w:rsid w:val="007845B7"/>
    <w:rsid w:val="00785E74"/>
    <w:rsid w:val="00787040"/>
    <w:rsid w:val="00790AC3"/>
    <w:rsid w:val="0079178B"/>
    <w:rsid w:val="00796142"/>
    <w:rsid w:val="007A0007"/>
    <w:rsid w:val="007A2800"/>
    <w:rsid w:val="007A3275"/>
    <w:rsid w:val="007A50CD"/>
    <w:rsid w:val="007B095B"/>
    <w:rsid w:val="007B1282"/>
    <w:rsid w:val="007B196D"/>
    <w:rsid w:val="007B451F"/>
    <w:rsid w:val="007B7166"/>
    <w:rsid w:val="007C1DC4"/>
    <w:rsid w:val="007C2752"/>
    <w:rsid w:val="007C5487"/>
    <w:rsid w:val="007C64DF"/>
    <w:rsid w:val="007C7775"/>
    <w:rsid w:val="007D0934"/>
    <w:rsid w:val="007D122C"/>
    <w:rsid w:val="007D251B"/>
    <w:rsid w:val="007D2810"/>
    <w:rsid w:val="007D3BCF"/>
    <w:rsid w:val="007D5A3A"/>
    <w:rsid w:val="007D5A3E"/>
    <w:rsid w:val="007D696E"/>
    <w:rsid w:val="007E1D14"/>
    <w:rsid w:val="007E4971"/>
    <w:rsid w:val="007E5D58"/>
    <w:rsid w:val="007E7B3E"/>
    <w:rsid w:val="007F003F"/>
    <w:rsid w:val="007F2553"/>
    <w:rsid w:val="007F27A1"/>
    <w:rsid w:val="007F2CF3"/>
    <w:rsid w:val="007F7D30"/>
    <w:rsid w:val="00811319"/>
    <w:rsid w:val="0081291E"/>
    <w:rsid w:val="0081374A"/>
    <w:rsid w:val="0081398B"/>
    <w:rsid w:val="00814FC8"/>
    <w:rsid w:val="00815CAA"/>
    <w:rsid w:val="00815ED6"/>
    <w:rsid w:val="00816465"/>
    <w:rsid w:val="00817F48"/>
    <w:rsid w:val="008242B3"/>
    <w:rsid w:val="00825C61"/>
    <w:rsid w:val="008265EE"/>
    <w:rsid w:val="008273D4"/>
    <w:rsid w:val="008307F1"/>
    <w:rsid w:val="00830A8E"/>
    <w:rsid w:val="00831908"/>
    <w:rsid w:val="0083253A"/>
    <w:rsid w:val="00834649"/>
    <w:rsid w:val="008412A7"/>
    <w:rsid w:val="00843A91"/>
    <w:rsid w:val="00845ADB"/>
    <w:rsid w:val="00846D26"/>
    <w:rsid w:val="00847897"/>
    <w:rsid w:val="0085014D"/>
    <w:rsid w:val="00850230"/>
    <w:rsid w:val="00851E9C"/>
    <w:rsid w:val="008531B9"/>
    <w:rsid w:val="0085365F"/>
    <w:rsid w:val="00853816"/>
    <w:rsid w:val="008544D7"/>
    <w:rsid w:val="00856BDB"/>
    <w:rsid w:val="0085739C"/>
    <w:rsid w:val="00857451"/>
    <w:rsid w:val="00857D88"/>
    <w:rsid w:val="00863773"/>
    <w:rsid w:val="00865AFB"/>
    <w:rsid w:val="008676ED"/>
    <w:rsid w:val="00870855"/>
    <w:rsid w:val="00871008"/>
    <w:rsid w:val="0087222B"/>
    <w:rsid w:val="00874762"/>
    <w:rsid w:val="008763CC"/>
    <w:rsid w:val="0087683C"/>
    <w:rsid w:val="00877E7A"/>
    <w:rsid w:val="00881763"/>
    <w:rsid w:val="0088404F"/>
    <w:rsid w:val="00884887"/>
    <w:rsid w:val="00887809"/>
    <w:rsid w:val="00887BFF"/>
    <w:rsid w:val="00890CC8"/>
    <w:rsid w:val="00891C1D"/>
    <w:rsid w:val="00892566"/>
    <w:rsid w:val="00895541"/>
    <w:rsid w:val="008963B9"/>
    <w:rsid w:val="008964EC"/>
    <w:rsid w:val="008A3360"/>
    <w:rsid w:val="008A617E"/>
    <w:rsid w:val="008A6B06"/>
    <w:rsid w:val="008B011F"/>
    <w:rsid w:val="008B0860"/>
    <w:rsid w:val="008B0D11"/>
    <w:rsid w:val="008B233A"/>
    <w:rsid w:val="008B3C4E"/>
    <w:rsid w:val="008B3E24"/>
    <w:rsid w:val="008B439C"/>
    <w:rsid w:val="008B50A1"/>
    <w:rsid w:val="008B5641"/>
    <w:rsid w:val="008B7051"/>
    <w:rsid w:val="008B7B41"/>
    <w:rsid w:val="008C0702"/>
    <w:rsid w:val="008C2A09"/>
    <w:rsid w:val="008C2CEC"/>
    <w:rsid w:val="008C3918"/>
    <w:rsid w:val="008C5C8C"/>
    <w:rsid w:val="008C64B6"/>
    <w:rsid w:val="008D1314"/>
    <w:rsid w:val="008D1A5F"/>
    <w:rsid w:val="008D2C69"/>
    <w:rsid w:val="008E093C"/>
    <w:rsid w:val="008E158F"/>
    <w:rsid w:val="008E16FD"/>
    <w:rsid w:val="008E2E8D"/>
    <w:rsid w:val="008E2F9B"/>
    <w:rsid w:val="008E41DD"/>
    <w:rsid w:val="008E471C"/>
    <w:rsid w:val="008E4B84"/>
    <w:rsid w:val="008E7F32"/>
    <w:rsid w:val="008F0381"/>
    <w:rsid w:val="008F0A0B"/>
    <w:rsid w:val="008F0BCA"/>
    <w:rsid w:val="008F328E"/>
    <w:rsid w:val="008F37FE"/>
    <w:rsid w:val="008F510D"/>
    <w:rsid w:val="008F5CAD"/>
    <w:rsid w:val="008F5DF5"/>
    <w:rsid w:val="008F6485"/>
    <w:rsid w:val="008F6897"/>
    <w:rsid w:val="0090398F"/>
    <w:rsid w:val="00903D04"/>
    <w:rsid w:val="00903E2B"/>
    <w:rsid w:val="00905E71"/>
    <w:rsid w:val="00911CF9"/>
    <w:rsid w:val="0091345F"/>
    <w:rsid w:val="00913AE9"/>
    <w:rsid w:val="0091744F"/>
    <w:rsid w:val="00922AF3"/>
    <w:rsid w:val="00926B06"/>
    <w:rsid w:val="00926EC2"/>
    <w:rsid w:val="00927B9C"/>
    <w:rsid w:val="00930F70"/>
    <w:rsid w:val="0093216A"/>
    <w:rsid w:val="00932DB3"/>
    <w:rsid w:val="00935AD0"/>
    <w:rsid w:val="00935B8A"/>
    <w:rsid w:val="009365C5"/>
    <w:rsid w:val="0093704F"/>
    <w:rsid w:val="009374FD"/>
    <w:rsid w:val="009375AB"/>
    <w:rsid w:val="00941099"/>
    <w:rsid w:val="00941430"/>
    <w:rsid w:val="009431AA"/>
    <w:rsid w:val="009435BC"/>
    <w:rsid w:val="0094602C"/>
    <w:rsid w:val="00946FC8"/>
    <w:rsid w:val="009525EC"/>
    <w:rsid w:val="00953592"/>
    <w:rsid w:val="0095464A"/>
    <w:rsid w:val="00955F7C"/>
    <w:rsid w:val="00957BC3"/>
    <w:rsid w:val="00957E4B"/>
    <w:rsid w:val="00964D55"/>
    <w:rsid w:val="00966C53"/>
    <w:rsid w:val="00966FEC"/>
    <w:rsid w:val="00967943"/>
    <w:rsid w:val="00973084"/>
    <w:rsid w:val="009746A5"/>
    <w:rsid w:val="009753E5"/>
    <w:rsid w:val="009765BC"/>
    <w:rsid w:val="00976772"/>
    <w:rsid w:val="00976F8B"/>
    <w:rsid w:val="009777E2"/>
    <w:rsid w:val="009779A7"/>
    <w:rsid w:val="009779FD"/>
    <w:rsid w:val="00977E34"/>
    <w:rsid w:val="009827B9"/>
    <w:rsid w:val="00984188"/>
    <w:rsid w:val="00985A35"/>
    <w:rsid w:val="00985B6F"/>
    <w:rsid w:val="00986083"/>
    <w:rsid w:val="00987B16"/>
    <w:rsid w:val="009910E6"/>
    <w:rsid w:val="009915A9"/>
    <w:rsid w:val="00994D9C"/>
    <w:rsid w:val="00995E8B"/>
    <w:rsid w:val="00996E40"/>
    <w:rsid w:val="009A1590"/>
    <w:rsid w:val="009A29A3"/>
    <w:rsid w:val="009A2AE8"/>
    <w:rsid w:val="009A3C52"/>
    <w:rsid w:val="009A3DA1"/>
    <w:rsid w:val="009A408A"/>
    <w:rsid w:val="009A45A9"/>
    <w:rsid w:val="009A495C"/>
    <w:rsid w:val="009A5530"/>
    <w:rsid w:val="009A6C54"/>
    <w:rsid w:val="009A6FB0"/>
    <w:rsid w:val="009B0CA1"/>
    <w:rsid w:val="009B24F6"/>
    <w:rsid w:val="009B2668"/>
    <w:rsid w:val="009B383D"/>
    <w:rsid w:val="009B39CE"/>
    <w:rsid w:val="009B4BD8"/>
    <w:rsid w:val="009C0DF9"/>
    <w:rsid w:val="009C1643"/>
    <w:rsid w:val="009C1A4D"/>
    <w:rsid w:val="009C1C2D"/>
    <w:rsid w:val="009C1E11"/>
    <w:rsid w:val="009C3C45"/>
    <w:rsid w:val="009C63FD"/>
    <w:rsid w:val="009C642B"/>
    <w:rsid w:val="009C64C5"/>
    <w:rsid w:val="009D0DBF"/>
    <w:rsid w:val="009D14C2"/>
    <w:rsid w:val="009D4432"/>
    <w:rsid w:val="009D577F"/>
    <w:rsid w:val="009D5B34"/>
    <w:rsid w:val="009D6BF3"/>
    <w:rsid w:val="009D7F55"/>
    <w:rsid w:val="009E0519"/>
    <w:rsid w:val="009E4039"/>
    <w:rsid w:val="009E4CC6"/>
    <w:rsid w:val="009E5638"/>
    <w:rsid w:val="009F09DB"/>
    <w:rsid w:val="009F3EB2"/>
    <w:rsid w:val="009F4586"/>
    <w:rsid w:val="009F5049"/>
    <w:rsid w:val="009F68DF"/>
    <w:rsid w:val="009F7260"/>
    <w:rsid w:val="00A0268B"/>
    <w:rsid w:val="00A039B0"/>
    <w:rsid w:val="00A03FA1"/>
    <w:rsid w:val="00A0694B"/>
    <w:rsid w:val="00A07DB2"/>
    <w:rsid w:val="00A117AE"/>
    <w:rsid w:val="00A118AA"/>
    <w:rsid w:val="00A11E5E"/>
    <w:rsid w:val="00A120CE"/>
    <w:rsid w:val="00A20EC7"/>
    <w:rsid w:val="00A22512"/>
    <w:rsid w:val="00A22D27"/>
    <w:rsid w:val="00A2421C"/>
    <w:rsid w:val="00A24876"/>
    <w:rsid w:val="00A25D0C"/>
    <w:rsid w:val="00A26249"/>
    <w:rsid w:val="00A26C42"/>
    <w:rsid w:val="00A26F05"/>
    <w:rsid w:val="00A26F1B"/>
    <w:rsid w:val="00A27B02"/>
    <w:rsid w:val="00A3268A"/>
    <w:rsid w:val="00A33ED5"/>
    <w:rsid w:val="00A33F3B"/>
    <w:rsid w:val="00A3407A"/>
    <w:rsid w:val="00A34980"/>
    <w:rsid w:val="00A3522D"/>
    <w:rsid w:val="00A4000C"/>
    <w:rsid w:val="00A4057C"/>
    <w:rsid w:val="00A435ED"/>
    <w:rsid w:val="00A43BB1"/>
    <w:rsid w:val="00A43DB7"/>
    <w:rsid w:val="00A44AF8"/>
    <w:rsid w:val="00A46318"/>
    <w:rsid w:val="00A5067E"/>
    <w:rsid w:val="00A518EA"/>
    <w:rsid w:val="00A5214A"/>
    <w:rsid w:val="00A527D5"/>
    <w:rsid w:val="00A55652"/>
    <w:rsid w:val="00A55C6A"/>
    <w:rsid w:val="00A5601C"/>
    <w:rsid w:val="00A56BB9"/>
    <w:rsid w:val="00A60FB6"/>
    <w:rsid w:val="00A62BEB"/>
    <w:rsid w:val="00A6334E"/>
    <w:rsid w:val="00A65FC9"/>
    <w:rsid w:val="00A66AA6"/>
    <w:rsid w:val="00A66D10"/>
    <w:rsid w:val="00A67A08"/>
    <w:rsid w:val="00A7047F"/>
    <w:rsid w:val="00A713DF"/>
    <w:rsid w:val="00A71E37"/>
    <w:rsid w:val="00A73180"/>
    <w:rsid w:val="00A73441"/>
    <w:rsid w:val="00A74F4C"/>
    <w:rsid w:val="00A76688"/>
    <w:rsid w:val="00A76C2B"/>
    <w:rsid w:val="00A81076"/>
    <w:rsid w:val="00A84E64"/>
    <w:rsid w:val="00A87BBE"/>
    <w:rsid w:val="00A94FAA"/>
    <w:rsid w:val="00A97647"/>
    <w:rsid w:val="00AA01CA"/>
    <w:rsid w:val="00AA0381"/>
    <w:rsid w:val="00AA1648"/>
    <w:rsid w:val="00AA1A0F"/>
    <w:rsid w:val="00AA4118"/>
    <w:rsid w:val="00AA50B4"/>
    <w:rsid w:val="00AA6583"/>
    <w:rsid w:val="00AA7C33"/>
    <w:rsid w:val="00AA7DAC"/>
    <w:rsid w:val="00AB0319"/>
    <w:rsid w:val="00AB0D60"/>
    <w:rsid w:val="00AB2702"/>
    <w:rsid w:val="00AB3661"/>
    <w:rsid w:val="00AB3769"/>
    <w:rsid w:val="00AB3DDA"/>
    <w:rsid w:val="00AB6A90"/>
    <w:rsid w:val="00AB70CA"/>
    <w:rsid w:val="00AB743F"/>
    <w:rsid w:val="00AB797C"/>
    <w:rsid w:val="00AC1E9B"/>
    <w:rsid w:val="00AC2933"/>
    <w:rsid w:val="00AC7253"/>
    <w:rsid w:val="00AD1470"/>
    <w:rsid w:val="00AD5602"/>
    <w:rsid w:val="00AD594F"/>
    <w:rsid w:val="00AD6436"/>
    <w:rsid w:val="00AD6CAC"/>
    <w:rsid w:val="00AE083E"/>
    <w:rsid w:val="00AE2907"/>
    <w:rsid w:val="00AE2C50"/>
    <w:rsid w:val="00AE3619"/>
    <w:rsid w:val="00AF330C"/>
    <w:rsid w:val="00AF352F"/>
    <w:rsid w:val="00AF4041"/>
    <w:rsid w:val="00AF4917"/>
    <w:rsid w:val="00AF7E75"/>
    <w:rsid w:val="00B045F2"/>
    <w:rsid w:val="00B04C53"/>
    <w:rsid w:val="00B0514B"/>
    <w:rsid w:val="00B05D14"/>
    <w:rsid w:val="00B05F33"/>
    <w:rsid w:val="00B069C0"/>
    <w:rsid w:val="00B07A87"/>
    <w:rsid w:val="00B07F6C"/>
    <w:rsid w:val="00B07FF7"/>
    <w:rsid w:val="00B1018C"/>
    <w:rsid w:val="00B105A8"/>
    <w:rsid w:val="00B13088"/>
    <w:rsid w:val="00B166AF"/>
    <w:rsid w:val="00B16983"/>
    <w:rsid w:val="00B21903"/>
    <w:rsid w:val="00B21D38"/>
    <w:rsid w:val="00B2240E"/>
    <w:rsid w:val="00B2392D"/>
    <w:rsid w:val="00B256FF"/>
    <w:rsid w:val="00B3046F"/>
    <w:rsid w:val="00B36D59"/>
    <w:rsid w:val="00B42B8A"/>
    <w:rsid w:val="00B42D6A"/>
    <w:rsid w:val="00B46307"/>
    <w:rsid w:val="00B5422E"/>
    <w:rsid w:val="00B543C4"/>
    <w:rsid w:val="00B5507B"/>
    <w:rsid w:val="00B55DA7"/>
    <w:rsid w:val="00B6084D"/>
    <w:rsid w:val="00B6206C"/>
    <w:rsid w:val="00B62416"/>
    <w:rsid w:val="00B644B5"/>
    <w:rsid w:val="00B65A6E"/>
    <w:rsid w:val="00B66CF6"/>
    <w:rsid w:val="00B67DED"/>
    <w:rsid w:val="00B713F7"/>
    <w:rsid w:val="00B731EF"/>
    <w:rsid w:val="00B74CDB"/>
    <w:rsid w:val="00B818FA"/>
    <w:rsid w:val="00B8225C"/>
    <w:rsid w:val="00B8243B"/>
    <w:rsid w:val="00B824DF"/>
    <w:rsid w:val="00B826EA"/>
    <w:rsid w:val="00B870A1"/>
    <w:rsid w:val="00B87644"/>
    <w:rsid w:val="00B905E0"/>
    <w:rsid w:val="00B93191"/>
    <w:rsid w:val="00B94165"/>
    <w:rsid w:val="00B954B7"/>
    <w:rsid w:val="00B96EDC"/>
    <w:rsid w:val="00B972F4"/>
    <w:rsid w:val="00B9741C"/>
    <w:rsid w:val="00BA1BD8"/>
    <w:rsid w:val="00BA4849"/>
    <w:rsid w:val="00BA523E"/>
    <w:rsid w:val="00BA6823"/>
    <w:rsid w:val="00BA6A7C"/>
    <w:rsid w:val="00BA7046"/>
    <w:rsid w:val="00BB3233"/>
    <w:rsid w:val="00BB4244"/>
    <w:rsid w:val="00BB43AA"/>
    <w:rsid w:val="00BB459F"/>
    <w:rsid w:val="00BB5C4B"/>
    <w:rsid w:val="00BC0CBC"/>
    <w:rsid w:val="00BC209B"/>
    <w:rsid w:val="00BC2D51"/>
    <w:rsid w:val="00BC6E1A"/>
    <w:rsid w:val="00BD196E"/>
    <w:rsid w:val="00BD3492"/>
    <w:rsid w:val="00BD5B79"/>
    <w:rsid w:val="00BD6CA2"/>
    <w:rsid w:val="00BD7450"/>
    <w:rsid w:val="00BD7CC8"/>
    <w:rsid w:val="00BE3B0F"/>
    <w:rsid w:val="00BE41B3"/>
    <w:rsid w:val="00BE7F06"/>
    <w:rsid w:val="00BF0189"/>
    <w:rsid w:val="00BF055F"/>
    <w:rsid w:val="00BF21F3"/>
    <w:rsid w:val="00BF31FA"/>
    <w:rsid w:val="00BF34F9"/>
    <w:rsid w:val="00BF5AF9"/>
    <w:rsid w:val="00BF69BD"/>
    <w:rsid w:val="00BF7DEF"/>
    <w:rsid w:val="00C018AA"/>
    <w:rsid w:val="00C037A9"/>
    <w:rsid w:val="00C03DE9"/>
    <w:rsid w:val="00C04008"/>
    <w:rsid w:val="00C040C3"/>
    <w:rsid w:val="00C04CFB"/>
    <w:rsid w:val="00C07516"/>
    <w:rsid w:val="00C1626E"/>
    <w:rsid w:val="00C166BC"/>
    <w:rsid w:val="00C17E04"/>
    <w:rsid w:val="00C229AD"/>
    <w:rsid w:val="00C22F82"/>
    <w:rsid w:val="00C2560B"/>
    <w:rsid w:val="00C26523"/>
    <w:rsid w:val="00C30961"/>
    <w:rsid w:val="00C32756"/>
    <w:rsid w:val="00C32AD9"/>
    <w:rsid w:val="00C33E8C"/>
    <w:rsid w:val="00C4320A"/>
    <w:rsid w:val="00C44293"/>
    <w:rsid w:val="00C44F08"/>
    <w:rsid w:val="00C45425"/>
    <w:rsid w:val="00C46DBF"/>
    <w:rsid w:val="00C47F18"/>
    <w:rsid w:val="00C5123E"/>
    <w:rsid w:val="00C54D8E"/>
    <w:rsid w:val="00C6123C"/>
    <w:rsid w:val="00C621B8"/>
    <w:rsid w:val="00C62978"/>
    <w:rsid w:val="00C62C07"/>
    <w:rsid w:val="00C62C88"/>
    <w:rsid w:val="00C6620C"/>
    <w:rsid w:val="00C67280"/>
    <w:rsid w:val="00C700A6"/>
    <w:rsid w:val="00C712F7"/>
    <w:rsid w:val="00C716E4"/>
    <w:rsid w:val="00C721FF"/>
    <w:rsid w:val="00C73911"/>
    <w:rsid w:val="00C73E8C"/>
    <w:rsid w:val="00C74251"/>
    <w:rsid w:val="00C74B4C"/>
    <w:rsid w:val="00C8056B"/>
    <w:rsid w:val="00C82559"/>
    <w:rsid w:val="00C83D5A"/>
    <w:rsid w:val="00C85136"/>
    <w:rsid w:val="00C85213"/>
    <w:rsid w:val="00C87861"/>
    <w:rsid w:val="00C87C79"/>
    <w:rsid w:val="00C87D8C"/>
    <w:rsid w:val="00C87F0D"/>
    <w:rsid w:val="00C926A0"/>
    <w:rsid w:val="00C93272"/>
    <w:rsid w:val="00C93F4B"/>
    <w:rsid w:val="00C94E9D"/>
    <w:rsid w:val="00C95D6D"/>
    <w:rsid w:val="00CA077A"/>
    <w:rsid w:val="00CA0E03"/>
    <w:rsid w:val="00CA113F"/>
    <w:rsid w:val="00CA238A"/>
    <w:rsid w:val="00CA25D4"/>
    <w:rsid w:val="00CA3064"/>
    <w:rsid w:val="00CA46A7"/>
    <w:rsid w:val="00CA7993"/>
    <w:rsid w:val="00CB0636"/>
    <w:rsid w:val="00CB0885"/>
    <w:rsid w:val="00CB2941"/>
    <w:rsid w:val="00CB306A"/>
    <w:rsid w:val="00CB30E6"/>
    <w:rsid w:val="00CB4C1C"/>
    <w:rsid w:val="00CB7B65"/>
    <w:rsid w:val="00CC01DD"/>
    <w:rsid w:val="00CC2015"/>
    <w:rsid w:val="00CC5BAD"/>
    <w:rsid w:val="00CC7996"/>
    <w:rsid w:val="00CD21A7"/>
    <w:rsid w:val="00CD235E"/>
    <w:rsid w:val="00CD6615"/>
    <w:rsid w:val="00CD6693"/>
    <w:rsid w:val="00CD7B89"/>
    <w:rsid w:val="00CE476C"/>
    <w:rsid w:val="00CE558C"/>
    <w:rsid w:val="00CE5C16"/>
    <w:rsid w:val="00CF076D"/>
    <w:rsid w:val="00CF0BC5"/>
    <w:rsid w:val="00CF0C65"/>
    <w:rsid w:val="00CF4FF8"/>
    <w:rsid w:val="00CF62D7"/>
    <w:rsid w:val="00CF6F15"/>
    <w:rsid w:val="00D008AC"/>
    <w:rsid w:val="00D050C1"/>
    <w:rsid w:val="00D05525"/>
    <w:rsid w:val="00D1207C"/>
    <w:rsid w:val="00D12C7C"/>
    <w:rsid w:val="00D147AA"/>
    <w:rsid w:val="00D15687"/>
    <w:rsid w:val="00D175B8"/>
    <w:rsid w:val="00D17C4C"/>
    <w:rsid w:val="00D21815"/>
    <w:rsid w:val="00D21A28"/>
    <w:rsid w:val="00D23ED7"/>
    <w:rsid w:val="00D251AE"/>
    <w:rsid w:val="00D25642"/>
    <w:rsid w:val="00D32510"/>
    <w:rsid w:val="00D357DE"/>
    <w:rsid w:val="00D408C8"/>
    <w:rsid w:val="00D42E94"/>
    <w:rsid w:val="00D4405B"/>
    <w:rsid w:val="00D46C51"/>
    <w:rsid w:val="00D5018C"/>
    <w:rsid w:val="00D50E6E"/>
    <w:rsid w:val="00D543B7"/>
    <w:rsid w:val="00D573D8"/>
    <w:rsid w:val="00D62B0E"/>
    <w:rsid w:val="00D650D4"/>
    <w:rsid w:val="00D66F77"/>
    <w:rsid w:val="00D67144"/>
    <w:rsid w:val="00D6739B"/>
    <w:rsid w:val="00D73FC2"/>
    <w:rsid w:val="00D74B9D"/>
    <w:rsid w:val="00D75786"/>
    <w:rsid w:val="00D76719"/>
    <w:rsid w:val="00D770E9"/>
    <w:rsid w:val="00D77662"/>
    <w:rsid w:val="00D801AA"/>
    <w:rsid w:val="00D8140E"/>
    <w:rsid w:val="00D82A31"/>
    <w:rsid w:val="00D82D18"/>
    <w:rsid w:val="00D82D5F"/>
    <w:rsid w:val="00D83740"/>
    <w:rsid w:val="00D85182"/>
    <w:rsid w:val="00D8585C"/>
    <w:rsid w:val="00D87D04"/>
    <w:rsid w:val="00D9184E"/>
    <w:rsid w:val="00D91BB5"/>
    <w:rsid w:val="00D92CAA"/>
    <w:rsid w:val="00D93BAC"/>
    <w:rsid w:val="00D93FCB"/>
    <w:rsid w:val="00D96739"/>
    <w:rsid w:val="00D96BC9"/>
    <w:rsid w:val="00D972EA"/>
    <w:rsid w:val="00DA05B0"/>
    <w:rsid w:val="00DA0757"/>
    <w:rsid w:val="00DA11BB"/>
    <w:rsid w:val="00DA276D"/>
    <w:rsid w:val="00DA2A9E"/>
    <w:rsid w:val="00DA3124"/>
    <w:rsid w:val="00DA3F48"/>
    <w:rsid w:val="00DA3FA0"/>
    <w:rsid w:val="00DA4BFB"/>
    <w:rsid w:val="00DA4E26"/>
    <w:rsid w:val="00DA5B02"/>
    <w:rsid w:val="00DA6740"/>
    <w:rsid w:val="00DA6B64"/>
    <w:rsid w:val="00DA7839"/>
    <w:rsid w:val="00DA7FB5"/>
    <w:rsid w:val="00DB24CF"/>
    <w:rsid w:val="00DB3670"/>
    <w:rsid w:val="00DB4064"/>
    <w:rsid w:val="00DB4F51"/>
    <w:rsid w:val="00DB521A"/>
    <w:rsid w:val="00DB527E"/>
    <w:rsid w:val="00DB5FE2"/>
    <w:rsid w:val="00DB7040"/>
    <w:rsid w:val="00DB73EB"/>
    <w:rsid w:val="00DC01CA"/>
    <w:rsid w:val="00DC0E78"/>
    <w:rsid w:val="00DC4835"/>
    <w:rsid w:val="00DC491E"/>
    <w:rsid w:val="00DC5949"/>
    <w:rsid w:val="00DC649D"/>
    <w:rsid w:val="00DC6A75"/>
    <w:rsid w:val="00DC763D"/>
    <w:rsid w:val="00DD0654"/>
    <w:rsid w:val="00DD29CF"/>
    <w:rsid w:val="00DD4A85"/>
    <w:rsid w:val="00DD5D23"/>
    <w:rsid w:val="00DD6DDD"/>
    <w:rsid w:val="00DD7EA0"/>
    <w:rsid w:val="00DE2011"/>
    <w:rsid w:val="00DE25A6"/>
    <w:rsid w:val="00DE4127"/>
    <w:rsid w:val="00DE6272"/>
    <w:rsid w:val="00DE69C6"/>
    <w:rsid w:val="00DF18AB"/>
    <w:rsid w:val="00DF243F"/>
    <w:rsid w:val="00DF354C"/>
    <w:rsid w:val="00DF493B"/>
    <w:rsid w:val="00DF4B94"/>
    <w:rsid w:val="00DF5090"/>
    <w:rsid w:val="00DF5874"/>
    <w:rsid w:val="00E0085D"/>
    <w:rsid w:val="00E01AD9"/>
    <w:rsid w:val="00E04B98"/>
    <w:rsid w:val="00E04D1B"/>
    <w:rsid w:val="00E04E9E"/>
    <w:rsid w:val="00E06AD0"/>
    <w:rsid w:val="00E140AC"/>
    <w:rsid w:val="00E15DA6"/>
    <w:rsid w:val="00E210A3"/>
    <w:rsid w:val="00E21488"/>
    <w:rsid w:val="00E21A90"/>
    <w:rsid w:val="00E21F36"/>
    <w:rsid w:val="00E22094"/>
    <w:rsid w:val="00E230B7"/>
    <w:rsid w:val="00E243B3"/>
    <w:rsid w:val="00E25FDC"/>
    <w:rsid w:val="00E25FEE"/>
    <w:rsid w:val="00E266DC"/>
    <w:rsid w:val="00E27A43"/>
    <w:rsid w:val="00E27C27"/>
    <w:rsid w:val="00E30E06"/>
    <w:rsid w:val="00E30F8F"/>
    <w:rsid w:val="00E34BDF"/>
    <w:rsid w:val="00E359D3"/>
    <w:rsid w:val="00E35A6C"/>
    <w:rsid w:val="00E365EB"/>
    <w:rsid w:val="00E37BBC"/>
    <w:rsid w:val="00E37EAD"/>
    <w:rsid w:val="00E37FDE"/>
    <w:rsid w:val="00E41138"/>
    <w:rsid w:val="00E427DB"/>
    <w:rsid w:val="00E44A6E"/>
    <w:rsid w:val="00E44E04"/>
    <w:rsid w:val="00E4615A"/>
    <w:rsid w:val="00E469F9"/>
    <w:rsid w:val="00E502E1"/>
    <w:rsid w:val="00E51AAB"/>
    <w:rsid w:val="00E53AC8"/>
    <w:rsid w:val="00E57940"/>
    <w:rsid w:val="00E60E5A"/>
    <w:rsid w:val="00E637CE"/>
    <w:rsid w:val="00E63E5E"/>
    <w:rsid w:val="00E65EF3"/>
    <w:rsid w:val="00E65F3D"/>
    <w:rsid w:val="00E66376"/>
    <w:rsid w:val="00E66655"/>
    <w:rsid w:val="00E71DFA"/>
    <w:rsid w:val="00E759A2"/>
    <w:rsid w:val="00E75B07"/>
    <w:rsid w:val="00E77966"/>
    <w:rsid w:val="00E80980"/>
    <w:rsid w:val="00E83D56"/>
    <w:rsid w:val="00E850AF"/>
    <w:rsid w:val="00E90095"/>
    <w:rsid w:val="00E91626"/>
    <w:rsid w:val="00E91796"/>
    <w:rsid w:val="00E93B0C"/>
    <w:rsid w:val="00E94211"/>
    <w:rsid w:val="00E94E8A"/>
    <w:rsid w:val="00E9688F"/>
    <w:rsid w:val="00E97EF2"/>
    <w:rsid w:val="00EA0974"/>
    <w:rsid w:val="00EA447E"/>
    <w:rsid w:val="00EA5861"/>
    <w:rsid w:val="00EA7940"/>
    <w:rsid w:val="00EA7C6D"/>
    <w:rsid w:val="00EA7EDA"/>
    <w:rsid w:val="00EB012D"/>
    <w:rsid w:val="00EB48A1"/>
    <w:rsid w:val="00EB5077"/>
    <w:rsid w:val="00EB6865"/>
    <w:rsid w:val="00EC287E"/>
    <w:rsid w:val="00EC46F8"/>
    <w:rsid w:val="00EC490C"/>
    <w:rsid w:val="00EC6362"/>
    <w:rsid w:val="00ED12A4"/>
    <w:rsid w:val="00ED3D65"/>
    <w:rsid w:val="00ED64EE"/>
    <w:rsid w:val="00ED6ECE"/>
    <w:rsid w:val="00ED7259"/>
    <w:rsid w:val="00EE0D38"/>
    <w:rsid w:val="00EE1722"/>
    <w:rsid w:val="00EE1E7A"/>
    <w:rsid w:val="00EE3B06"/>
    <w:rsid w:val="00EE412E"/>
    <w:rsid w:val="00EE443A"/>
    <w:rsid w:val="00EF2A5A"/>
    <w:rsid w:val="00EF42C6"/>
    <w:rsid w:val="00F00BDB"/>
    <w:rsid w:val="00F017B8"/>
    <w:rsid w:val="00F01D74"/>
    <w:rsid w:val="00F024BF"/>
    <w:rsid w:val="00F029D3"/>
    <w:rsid w:val="00F03CB1"/>
    <w:rsid w:val="00F053E7"/>
    <w:rsid w:val="00F0560D"/>
    <w:rsid w:val="00F05BD5"/>
    <w:rsid w:val="00F070DE"/>
    <w:rsid w:val="00F109A3"/>
    <w:rsid w:val="00F120CB"/>
    <w:rsid w:val="00F12557"/>
    <w:rsid w:val="00F156CF"/>
    <w:rsid w:val="00F16179"/>
    <w:rsid w:val="00F16349"/>
    <w:rsid w:val="00F17482"/>
    <w:rsid w:val="00F17F5D"/>
    <w:rsid w:val="00F20726"/>
    <w:rsid w:val="00F20D65"/>
    <w:rsid w:val="00F21768"/>
    <w:rsid w:val="00F22B1B"/>
    <w:rsid w:val="00F231BB"/>
    <w:rsid w:val="00F23296"/>
    <w:rsid w:val="00F236AD"/>
    <w:rsid w:val="00F2386A"/>
    <w:rsid w:val="00F24DA5"/>
    <w:rsid w:val="00F250EF"/>
    <w:rsid w:val="00F278B6"/>
    <w:rsid w:val="00F31D71"/>
    <w:rsid w:val="00F32FCD"/>
    <w:rsid w:val="00F43D44"/>
    <w:rsid w:val="00F45430"/>
    <w:rsid w:val="00F45879"/>
    <w:rsid w:val="00F46613"/>
    <w:rsid w:val="00F466C5"/>
    <w:rsid w:val="00F510E3"/>
    <w:rsid w:val="00F51CAA"/>
    <w:rsid w:val="00F51F3D"/>
    <w:rsid w:val="00F53362"/>
    <w:rsid w:val="00F55C01"/>
    <w:rsid w:val="00F56C6C"/>
    <w:rsid w:val="00F60408"/>
    <w:rsid w:val="00F60657"/>
    <w:rsid w:val="00F61AA6"/>
    <w:rsid w:val="00F61F2D"/>
    <w:rsid w:val="00F62023"/>
    <w:rsid w:val="00F63436"/>
    <w:rsid w:val="00F6362C"/>
    <w:rsid w:val="00F65327"/>
    <w:rsid w:val="00F659E8"/>
    <w:rsid w:val="00F70C92"/>
    <w:rsid w:val="00F715E6"/>
    <w:rsid w:val="00F74EED"/>
    <w:rsid w:val="00F76BC0"/>
    <w:rsid w:val="00F80305"/>
    <w:rsid w:val="00F81459"/>
    <w:rsid w:val="00F82DDE"/>
    <w:rsid w:val="00F83EBE"/>
    <w:rsid w:val="00F8415B"/>
    <w:rsid w:val="00F879EA"/>
    <w:rsid w:val="00F94078"/>
    <w:rsid w:val="00F95373"/>
    <w:rsid w:val="00F959C4"/>
    <w:rsid w:val="00FA0410"/>
    <w:rsid w:val="00FA0680"/>
    <w:rsid w:val="00FA1000"/>
    <w:rsid w:val="00FA17B0"/>
    <w:rsid w:val="00FA2467"/>
    <w:rsid w:val="00FA68F0"/>
    <w:rsid w:val="00FB055E"/>
    <w:rsid w:val="00FB3EB9"/>
    <w:rsid w:val="00FB53F2"/>
    <w:rsid w:val="00FB7711"/>
    <w:rsid w:val="00FC04C6"/>
    <w:rsid w:val="00FC2E31"/>
    <w:rsid w:val="00FC4E7C"/>
    <w:rsid w:val="00FC4FBB"/>
    <w:rsid w:val="00FC5D2B"/>
    <w:rsid w:val="00FD1677"/>
    <w:rsid w:val="00FD1C63"/>
    <w:rsid w:val="00FD4733"/>
    <w:rsid w:val="00FD4C3F"/>
    <w:rsid w:val="00FD55FE"/>
    <w:rsid w:val="00FD7D47"/>
    <w:rsid w:val="00FE06AB"/>
    <w:rsid w:val="00FE074D"/>
    <w:rsid w:val="00FE40B8"/>
    <w:rsid w:val="00FE5A98"/>
    <w:rsid w:val="00FE5AED"/>
    <w:rsid w:val="00FE7CB5"/>
    <w:rsid w:val="00FF09D0"/>
    <w:rsid w:val="00FF1E0D"/>
    <w:rsid w:val="00FF1E0E"/>
    <w:rsid w:val="00FF61E8"/>
    <w:rsid w:val="00FF78B5"/>
    <w:rsid w:val="31F85352"/>
    <w:rsid w:val="39A41DA6"/>
    <w:rsid w:val="461F3D74"/>
    <w:rsid w:val="49387975"/>
    <w:rsid w:val="52B218E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paragraph" w:styleId="2">
    <w:name w:val="heading 1"/>
    <w:basedOn w:val="1"/>
    <w:next w:val="1"/>
    <w:link w:val="40"/>
    <w:qFormat/>
    <w:uiPriority w:val="0"/>
    <w:pPr>
      <w:spacing w:before="100" w:beforeAutospacing="1" w:after="100" w:afterAutospacing="1" w:line="240" w:lineRule="auto"/>
      <w:outlineLvl w:val="0"/>
    </w:pPr>
    <w:rPr>
      <w:rFonts w:ascii="Times New Roman" w:hAnsi="Times New Roman" w:eastAsia="Times New Roman"/>
      <w:b/>
      <w:bCs/>
      <w:kern w:val="36"/>
      <w:sz w:val="48"/>
      <w:szCs w:val="48"/>
    </w:rPr>
  </w:style>
  <w:style w:type="paragraph" w:styleId="3">
    <w:name w:val="heading 2"/>
    <w:basedOn w:val="4"/>
    <w:next w:val="5"/>
    <w:link w:val="51"/>
    <w:qFormat/>
    <w:uiPriority w:val="0"/>
    <w:pPr>
      <w:numPr>
        <w:ilvl w:val="1"/>
        <w:numId w:val="1"/>
      </w:numPr>
      <w:outlineLvl w:val="1"/>
    </w:pPr>
    <w:rPr>
      <w:b/>
      <w:bCs/>
      <w:i/>
      <w:iCs/>
    </w:rPr>
  </w:style>
  <w:style w:type="paragraph" w:styleId="6">
    <w:name w:val="heading 3"/>
    <w:basedOn w:val="1"/>
    <w:next w:val="1"/>
    <w:link w:val="50"/>
    <w:unhideWhenUsed/>
    <w:qFormat/>
    <w:uiPriority w:val="0"/>
    <w:pPr>
      <w:keepNext/>
      <w:spacing w:before="240" w:after="60"/>
      <w:outlineLvl w:val="2"/>
    </w:pPr>
    <w:rPr>
      <w:rFonts w:ascii="Cambria" w:hAnsi="Cambria" w:eastAsia="Times New Roman"/>
      <w:b/>
      <w:bCs/>
      <w:sz w:val="26"/>
      <w:szCs w:val="26"/>
    </w:rPr>
  </w:style>
  <w:style w:type="paragraph" w:styleId="7">
    <w:name w:val="heading 4"/>
    <w:basedOn w:val="1"/>
    <w:next w:val="1"/>
    <w:link w:val="39"/>
    <w:unhideWhenUsed/>
    <w:qFormat/>
    <w:uiPriority w:val="0"/>
    <w:pPr>
      <w:keepNext/>
      <w:spacing w:before="240" w:after="60"/>
      <w:outlineLvl w:val="3"/>
    </w:pPr>
    <w:rPr>
      <w:rFonts w:eastAsia="Times New Roman"/>
      <w:b/>
      <w:bCs/>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5"/>
    <w:link w:val="168"/>
    <w:qFormat/>
    <w:uiPriority w:val="0"/>
    <w:pPr>
      <w:keepNext/>
      <w:spacing w:before="240" w:after="120" w:line="240" w:lineRule="auto"/>
    </w:pPr>
    <w:rPr>
      <w:rFonts w:ascii="Arial" w:hAnsi="Arial" w:eastAsia="Microsoft YaHei"/>
      <w:sz w:val="28"/>
      <w:szCs w:val="28"/>
      <w:lang w:eastAsia="zh-CN"/>
    </w:rPr>
  </w:style>
  <w:style w:type="paragraph" w:styleId="5">
    <w:name w:val="Body Text"/>
    <w:basedOn w:val="1"/>
    <w:link w:val="169"/>
    <w:qFormat/>
    <w:uiPriority w:val="0"/>
    <w:pPr>
      <w:autoSpaceDE w:val="0"/>
      <w:spacing w:after="120" w:line="240" w:lineRule="auto"/>
      <w:jc w:val="both"/>
    </w:pPr>
    <w:rPr>
      <w:rFonts w:ascii="Arial" w:hAnsi="Arial" w:eastAsia="Times New Roman"/>
      <w:sz w:val="20"/>
      <w:szCs w:val="20"/>
      <w:lang w:val="en-GB" w:eastAsia="zh-CN"/>
    </w:rPr>
  </w:style>
  <w:style w:type="paragraph" w:styleId="10">
    <w:name w:val="Balloon Text"/>
    <w:basedOn w:val="1"/>
    <w:link w:val="200"/>
    <w:qFormat/>
    <w:uiPriority w:val="99"/>
    <w:pPr>
      <w:spacing w:after="0" w:line="240" w:lineRule="auto"/>
    </w:pPr>
    <w:rPr>
      <w:rFonts w:ascii="Tahoma" w:hAnsi="Tahoma" w:eastAsia="Times New Roman"/>
      <w:sz w:val="16"/>
      <w:szCs w:val="16"/>
      <w:lang w:eastAsia="zh-CN"/>
    </w:rPr>
  </w:style>
  <w:style w:type="paragraph" w:styleId="11">
    <w:name w:val="Body Text 3"/>
    <w:basedOn w:val="1"/>
    <w:link w:val="261"/>
    <w:qFormat/>
    <w:uiPriority w:val="0"/>
    <w:pPr>
      <w:spacing w:after="120"/>
    </w:pPr>
    <w:rPr>
      <w:sz w:val="16"/>
      <w:szCs w:val="16"/>
    </w:rPr>
  </w:style>
  <w:style w:type="paragraph" w:styleId="12">
    <w:name w:val="Body Text Indent"/>
    <w:basedOn w:val="1"/>
    <w:link w:val="203"/>
    <w:qFormat/>
    <w:uiPriority w:val="0"/>
    <w:pPr>
      <w:spacing w:after="120" w:line="240" w:lineRule="auto"/>
      <w:ind w:left="283"/>
    </w:pPr>
    <w:rPr>
      <w:rFonts w:ascii="Times New Roman" w:hAnsi="Times New Roman" w:eastAsia="Times New Roman"/>
      <w:sz w:val="24"/>
      <w:szCs w:val="24"/>
      <w:lang w:eastAsia="zh-CN"/>
    </w:rPr>
  </w:style>
  <w:style w:type="paragraph" w:styleId="13">
    <w:name w:val="caption"/>
    <w:basedOn w:val="1"/>
    <w:next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styleId="14">
    <w:name w:val="annotation text"/>
    <w:basedOn w:val="1"/>
    <w:link w:val="218"/>
    <w:qFormat/>
    <w:uiPriority w:val="99"/>
    <w:rPr>
      <w:sz w:val="20"/>
      <w:szCs w:val="20"/>
    </w:rPr>
  </w:style>
  <w:style w:type="paragraph" w:styleId="15">
    <w:name w:val="annotation subject"/>
    <w:basedOn w:val="16"/>
    <w:next w:val="16"/>
    <w:link w:val="219"/>
    <w:qFormat/>
    <w:uiPriority w:val="0"/>
    <w:rPr>
      <w:rFonts w:ascii="Calibri" w:hAnsi="Calibri" w:eastAsia="Calibri"/>
      <w:b/>
      <w:bCs/>
      <w:lang w:val="uk-UA"/>
    </w:rPr>
  </w:style>
  <w:style w:type="paragraph" w:customStyle="1" w:styleId="16">
    <w:name w:val="Текст примечания1"/>
    <w:basedOn w:val="1"/>
    <w:qFormat/>
    <w:uiPriority w:val="0"/>
    <w:pPr>
      <w:spacing w:after="0" w:line="240" w:lineRule="auto"/>
    </w:pPr>
    <w:rPr>
      <w:rFonts w:ascii="Times New Roman" w:hAnsi="Times New Roman" w:eastAsia="Times New Roman"/>
      <w:sz w:val="20"/>
      <w:szCs w:val="20"/>
      <w:lang w:val="ru-RU" w:eastAsia="zh-CN"/>
    </w:rPr>
  </w:style>
  <w:style w:type="paragraph" w:styleId="17">
    <w:name w:val="footer"/>
    <w:basedOn w:val="1"/>
    <w:link w:val="239"/>
    <w:qFormat/>
    <w:uiPriority w:val="0"/>
    <w:pPr>
      <w:tabs>
        <w:tab w:val="center" w:pos="4677"/>
        <w:tab w:val="right" w:pos="9355"/>
      </w:tabs>
    </w:pPr>
  </w:style>
  <w:style w:type="paragraph" w:styleId="18">
    <w:name w:val="header"/>
    <w:basedOn w:val="1"/>
    <w:link w:val="49"/>
    <w:qFormat/>
    <w:uiPriority w:val="0"/>
    <w:pPr>
      <w:tabs>
        <w:tab w:val="center" w:pos="4844"/>
        <w:tab w:val="right" w:pos="9689"/>
      </w:tabs>
    </w:pPr>
  </w:style>
  <w:style w:type="paragraph" w:styleId="19">
    <w:name w:val="HTML Preformatted"/>
    <w:basedOn w:val="1"/>
    <w:link w:val="19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ourier New"/>
      <w:sz w:val="20"/>
      <w:szCs w:val="20"/>
      <w:lang w:eastAsia="zh-CN"/>
    </w:rPr>
  </w:style>
  <w:style w:type="character" w:styleId="20">
    <w:name w:val="Hyperlink"/>
    <w:qFormat/>
    <w:uiPriority w:val="0"/>
    <w:rPr>
      <w:color w:val="0000FF"/>
      <w:u w:val="single"/>
    </w:rPr>
  </w:style>
  <w:style w:type="paragraph" w:styleId="21">
    <w:name w:val="List"/>
    <w:basedOn w:val="5"/>
    <w:qFormat/>
    <w:uiPriority w:val="0"/>
    <w:rPr>
      <w:rFonts w:cs="Mangal"/>
    </w:rPr>
  </w:style>
  <w:style w:type="paragraph" w:styleId="22">
    <w:name w:val="Normal (Web)"/>
    <w:basedOn w:val="1"/>
    <w:link w:val="32"/>
    <w:qFormat/>
    <w:uiPriority w:val="0"/>
    <w:pPr>
      <w:spacing w:before="100" w:beforeAutospacing="1" w:after="100" w:afterAutospacing="1" w:line="240" w:lineRule="auto"/>
    </w:pPr>
    <w:rPr>
      <w:rFonts w:ascii="Times New Roman" w:hAnsi="Times New Roman" w:eastAsia="Times New Roman"/>
      <w:sz w:val="24"/>
      <w:szCs w:val="24"/>
      <w:lang w:val="ru-RU" w:eastAsia="ru-RU"/>
    </w:rPr>
  </w:style>
  <w:style w:type="character" w:styleId="23">
    <w:name w:val="page number"/>
    <w:basedOn w:val="8"/>
    <w:qFormat/>
    <w:uiPriority w:val="0"/>
  </w:style>
  <w:style w:type="paragraph" w:styleId="24">
    <w:name w:val="Plain Text"/>
    <w:basedOn w:val="1"/>
    <w:link w:val="262"/>
    <w:unhideWhenUsed/>
    <w:qFormat/>
    <w:uiPriority w:val="99"/>
    <w:pPr>
      <w:spacing w:after="0" w:line="240" w:lineRule="auto"/>
    </w:pPr>
    <w:rPr>
      <w:rFonts w:ascii="Courier New" w:hAnsi="Courier New" w:eastAsia="Times New Roman"/>
      <w:sz w:val="24"/>
      <w:szCs w:val="20"/>
    </w:rPr>
  </w:style>
  <w:style w:type="character" w:styleId="25">
    <w:name w:val="Strong"/>
    <w:qFormat/>
    <w:uiPriority w:val="0"/>
    <w:rPr>
      <w:b/>
      <w:bCs/>
    </w:rPr>
  </w:style>
  <w:style w:type="paragraph" w:styleId="26">
    <w:name w:val="Subtitle"/>
    <w:basedOn w:val="4"/>
    <w:next w:val="5"/>
    <w:link w:val="222"/>
    <w:qFormat/>
    <w:uiPriority w:val="0"/>
    <w:pPr>
      <w:jc w:val="center"/>
    </w:pPr>
    <w:rPr>
      <w:i/>
      <w:iCs/>
    </w:rPr>
  </w:style>
  <w:style w:type="table" w:styleId="27">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8">
    <w:name w:val="No Spacing"/>
    <w:qFormat/>
    <w:uiPriority w:val="1"/>
    <w:rPr>
      <w:rFonts w:ascii="Calibri" w:hAnsi="Calibri" w:eastAsia="Calibri" w:cs="Times New Roman"/>
      <w:sz w:val="22"/>
      <w:szCs w:val="22"/>
      <w:lang w:val="uk-UA" w:eastAsia="en-US" w:bidi="ar-SA"/>
    </w:rPr>
  </w:style>
  <w:style w:type="character" w:customStyle="1" w:styleId="29">
    <w:name w:val="rvts0"/>
    <w:qFormat/>
    <w:uiPriority w:val="0"/>
    <w:rPr>
      <w:rFonts w:cs="Times New Roman"/>
    </w:rPr>
  </w:style>
  <w:style w:type="paragraph" w:customStyle="1" w:styleId="30">
    <w:name w:val="rvps2"/>
    <w:basedOn w:val="1"/>
    <w:qFormat/>
    <w:uiPriority w:val="0"/>
    <w:pPr>
      <w:spacing w:before="100" w:beforeAutospacing="1" w:after="100" w:afterAutospacing="1" w:line="240" w:lineRule="auto"/>
    </w:pPr>
    <w:rPr>
      <w:rFonts w:ascii="Times New Roman" w:hAnsi="Times New Roman"/>
      <w:sz w:val="24"/>
      <w:szCs w:val="24"/>
      <w:lang w:eastAsia="uk-UA"/>
    </w:rPr>
  </w:style>
  <w:style w:type="paragraph" w:customStyle="1" w:styleId="31">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32">
    <w:name w:val="Звичайний (веб) Знак"/>
    <w:link w:val="22"/>
    <w:qFormat/>
    <w:uiPriority w:val="0"/>
    <w:rPr>
      <w:sz w:val="24"/>
      <w:szCs w:val="24"/>
      <w:lang w:val="ru-RU" w:eastAsia="ru-RU" w:bidi="ar-SA"/>
    </w:rPr>
  </w:style>
  <w:style w:type="character" w:customStyle="1" w:styleId="33">
    <w:name w:val="apple-converted-space"/>
    <w:basedOn w:val="8"/>
    <w:qFormat/>
    <w:uiPriority w:val="0"/>
  </w:style>
  <w:style w:type="character" w:customStyle="1" w:styleId="34">
    <w:name w:val="Знак Знак3"/>
    <w:qFormat/>
    <w:locked/>
    <w:uiPriority w:val="0"/>
    <w:rPr>
      <w:sz w:val="24"/>
      <w:szCs w:val="24"/>
      <w:lang w:val="uk-UA" w:eastAsia="uk-UA" w:bidi="ar-SA"/>
    </w:rPr>
  </w:style>
  <w:style w:type="paragraph" w:customStyle="1" w:styleId="35">
    <w:name w:val="_Style 19"/>
    <w:basedOn w:val="1"/>
    <w:uiPriority w:val="0"/>
    <w:pPr>
      <w:spacing w:after="0" w:line="240" w:lineRule="auto"/>
    </w:pPr>
    <w:rPr>
      <w:rFonts w:ascii="Verdana" w:hAnsi="Verdana" w:eastAsia="Times New Roman" w:cs="Verdana"/>
      <w:sz w:val="20"/>
      <w:szCs w:val="20"/>
    </w:rPr>
  </w:style>
  <w:style w:type="paragraph" w:customStyle="1" w:styleId="36">
    <w:name w:val="Знак"/>
    <w:basedOn w:val="1"/>
    <w:qFormat/>
    <w:uiPriority w:val="0"/>
    <w:pPr>
      <w:spacing w:after="0" w:line="240" w:lineRule="auto"/>
    </w:pPr>
    <w:rPr>
      <w:rFonts w:ascii="Verdana" w:hAnsi="Verdana" w:eastAsia="Times New Roman" w:cs="Verdana"/>
      <w:sz w:val="20"/>
      <w:szCs w:val="20"/>
    </w:rPr>
  </w:style>
  <w:style w:type="character" w:customStyle="1" w:styleId="37">
    <w:name w:val="width400"/>
    <w:basedOn w:val="8"/>
    <w:qFormat/>
    <w:uiPriority w:val="0"/>
  </w:style>
  <w:style w:type="character" w:customStyle="1" w:styleId="38">
    <w:name w:val="Font Style18"/>
    <w:uiPriority w:val="0"/>
    <w:rPr>
      <w:rFonts w:ascii="Times New Roman" w:hAnsi="Times New Roman" w:cs="Times New Roman"/>
      <w:b/>
      <w:bCs/>
      <w:sz w:val="24"/>
      <w:szCs w:val="24"/>
    </w:rPr>
  </w:style>
  <w:style w:type="character" w:customStyle="1" w:styleId="39">
    <w:name w:val="Заголовок 4 Знак"/>
    <w:link w:val="7"/>
    <w:qFormat/>
    <w:uiPriority w:val="0"/>
    <w:rPr>
      <w:rFonts w:ascii="Calibri" w:hAnsi="Calibri" w:eastAsia="Times New Roman" w:cs="Times New Roman"/>
      <w:b/>
      <w:bCs/>
      <w:sz w:val="28"/>
      <w:szCs w:val="28"/>
      <w:lang w:val="uk-UA" w:eastAsia="en-US"/>
    </w:rPr>
  </w:style>
  <w:style w:type="character" w:customStyle="1" w:styleId="40">
    <w:name w:val="Заголовок 1 Знак"/>
    <w:link w:val="2"/>
    <w:qFormat/>
    <w:locked/>
    <w:uiPriority w:val="0"/>
    <w:rPr>
      <w:b/>
      <w:bCs/>
      <w:kern w:val="36"/>
      <w:sz w:val="48"/>
      <w:szCs w:val="48"/>
    </w:rPr>
  </w:style>
  <w:style w:type="paragraph" w:customStyle="1" w:styleId="41">
    <w:name w:val="LO-normal"/>
    <w:uiPriority w:val="99"/>
    <w:pPr>
      <w:spacing w:line="276" w:lineRule="auto"/>
    </w:pPr>
    <w:rPr>
      <w:rFonts w:ascii="Arial" w:hAnsi="Arial" w:eastAsia="Tahoma" w:cs="Arial"/>
      <w:color w:val="000000"/>
      <w:sz w:val="22"/>
      <w:szCs w:val="22"/>
      <w:lang w:val="ru-RU" w:eastAsia="zh-CN" w:bidi="ar-SA"/>
    </w:rPr>
  </w:style>
  <w:style w:type="paragraph" w:customStyle="1" w:styleId="42">
    <w:name w:val="Table Paragraph"/>
    <w:basedOn w:val="1"/>
    <w:qFormat/>
    <w:uiPriority w:val="0"/>
    <w:pPr>
      <w:widowControl w:val="0"/>
      <w:spacing w:after="0" w:line="240" w:lineRule="auto"/>
      <w:ind w:left="103"/>
    </w:pPr>
    <w:rPr>
      <w:rFonts w:ascii="Times New Roman" w:hAnsi="Times New Roman" w:eastAsia="Times New Roman"/>
      <w:lang w:val="en-US"/>
    </w:rPr>
  </w:style>
  <w:style w:type="paragraph" w:customStyle="1" w:styleId="43">
    <w:name w:val="Обычный2"/>
    <w:qFormat/>
    <w:uiPriority w:val="0"/>
    <w:pPr>
      <w:spacing w:line="276" w:lineRule="auto"/>
    </w:pPr>
    <w:rPr>
      <w:rFonts w:ascii="Arial" w:hAnsi="Arial" w:eastAsia="Arial" w:cs="Arial"/>
      <w:color w:val="000000"/>
      <w:sz w:val="22"/>
      <w:szCs w:val="22"/>
      <w:lang w:val="ru-RU" w:eastAsia="ru-RU" w:bidi="ar-SA"/>
    </w:rPr>
  </w:style>
  <w:style w:type="character" w:customStyle="1" w:styleId="44">
    <w:name w:val="qa_classifier_type"/>
    <w:basedOn w:val="8"/>
    <w:qFormat/>
    <w:uiPriority w:val="0"/>
  </w:style>
  <w:style w:type="character" w:customStyle="1" w:styleId="45">
    <w:name w:val="qa_classifier_dk"/>
    <w:basedOn w:val="8"/>
    <w:qFormat/>
    <w:uiPriority w:val="0"/>
  </w:style>
  <w:style w:type="character" w:customStyle="1" w:styleId="46">
    <w:name w:val="qa_classifier_descr"/>
    <w:basedOn w:val="8"/>
    <w:qFormat/>
    <w:uiPriority w:val="0"/>
  </w:style>
  <w:style w:type="character" w:customStyle="1" w:styleId="47">
    <w:name w:val="qa_classifier_descr_code"/>
    <w:basedOn w:val="8"/>
    <w:qFormat/>
    <w:uiPriority w:val="0"/>
  </w:style>
  <w:style w:type="character" w:customStyle="1" w:styleId="48">
    <w:name w:val="qa_classifier_descr_primary"/>
    <w:basedOn w:val="8"/>
    <w:qFormat/>
    <w:uiPriority w:val="0"/>
  </w:style>
  <w:style w:type="character" w:customStyle="1" w:styleId="49">
    <w:name w:val="Верхній колонтитул Знак"/>
    <w:link w:val="18"/>
    <w:qFormat/>
    <w:uiPriority w:val="0"/>
    <w:rPr>
      <w:rFonts w:ascii="Calibri" w:hAnsi="Calibri" w:eastAsia="Calibri"/>
      <w:sz w:val="22"/>
      <w:szCs w:val="22"/>
      <w:lang w:val="uk-UA"/>
    </w:rPr>
  </w:style>
  <w:style w:type="character" w:customStyle="1" w:styleId="50">
    <w:name w:val="Заголовок 3 Знак"/>
    <w:link w:val="6"/>
    <w:qFormat/>
    <w:uiPriority w:val="0"/>
    <w:rPr>
      <w:rFonts w:ascii="Cambria" w:hAnsi="Cambria" w:eastAsia="Times New Roman" w:cs="Times New Roman"/>
      <w:b/>
      <w:bCs/>
      <w:sz w:val="26"/>
      <w:szCs w:val="26"/>
      <w:lang w:val="uk-UA" w:eastAsia="en-US"/>
    </w:rPr>
  </w:style>
  <w:style w:type="character" w:customStyle="1" w:styleId="51">
    <w:name w:val="Заголовок 2 Знак"/>
    <w:link w:val="3"/>
    <w:qFormat/>
    <w:uiPriority w:val="0"/>
    <w:rPr>
      <w:rFonts w:ascii="Arial" w:hAnsi="Arial" w:eastAsia="Microsoft YaHei" w:cs="Mangal"/>
      <w:b/>
      <w:bCs/>
      <w:i/>
      <w:iCs/>
      <w:sz w:val="28"/>
      <w:szCs w:val="28"/>
      <w:lang w:eastAsia="zh-CN"/>
    </w:rPr>
  </w:style>
  <w:style w:type="character" w:customStyle="1" w:styleId="52">
    <w:name w:val="WW8Num1z0"/>
    <w:qFormat/>
    <w:uiPriority w:val="0"/>
  </w:style>
  <w:style w:type="character" w:customStyle="1" w:styleId="53">
    <w:name w:val="WW8Num1z1"/>
    <w:qFormat/>
    <w:uiPriority w:val="0"/>
  </w:style>
  <w:style w:type="character" w:customStyle="1" w:styleId="54">
    <w:name w:val="WW8Num1z2"/>
    <w:qFormat/>
    <w:uiPriority w:val="0"/>
  </w:style>
  <w:style w:type="character" w:customStyle="1" w:styleId="55">
    <w:name w:val="WW8Num1z3"/>
    <w:qFormat/>
    <w:uiPriority w:val="0"/>
  </w:style>
  <w:style w:type="character" w:customStyle="1" w:styleId="56">
    <w:name w:val="WW8Num1z4"/>
    <w:qFormat/>
    <w:uiPriority w:val="0"/>
  </w:style>
  <w:style w:type="character" w:customStyle="1" w:styleId="57">
    <w:name w:val="WW8Num1z5"/>
    <w:qFormat/>
    <w:uiPriority w:val="0"/>
  </w:style>
  <w:style w:type="character" w:customStyle="1" w:styleId="58">
    <w:name w:val="WW8Num1z6"/>
    <w:qFormat/>
    <w:uiPriority w:val="0"/>
  </w:style>
  <w:style w:type="character" w:customStyle="1" w:styleId="59">
    <w:name w:val="WW8Num1z7"/>
    <w:qFormat/>
    <w:uiPriority w:val="0"/>
  </w:style>
  <w:style w:type="character" w:customStyle="1" w:styleId="60">
    <w:name w:val="WW8Num1z8"/>
    <w:qFormat/>
    <w:uiPriority w:val="0"/>
  </w:style>
  <w:style w:type="character" w:customStyle="1" w:styleId="61">
    <w:name w:val="WW8Num2z0"/>
    <w:qFormat/>
    <w:uiPriority w:val="0"/>
    <w:rPr>
      <w:rFonts w:ascii="Symbol" w:hAnsi="Symbol" w:cs="Courier New"/>
      <w:spacing w:val="-1"/>
      <w:lang w:val="uk-UA"/>
    </w:rPr>
  </w:style>
  <w:style w:type="character" w:customStyle="1" w:styleId="62">
    <w:name w:val="WW8Num2z1"/>
    <w:qFormat/>
    <w:uiPriority w:val="0"/>
    <w:rPr>
      <w:rFonts w:ascii="Times New Roman" w:hAnsi="Times New Roman" w:cs="Times New Roman"/>
      <w:sz w:val="24"/>
      <w:szCs w:val="24"/>
      <w:shd w:val="clear" w:color="auto" w:fill="FFFF00"/>
      <w:lang w:val="uk-UA"/>
    </w:rPr>
  </w:style>
  <w:style w:type="character" w:customStyle="1" w:styleId="63">
    <w:name w:val="WW8Num2z2"/>
    <w:qFormat/>
    <w:uiPriority w:val="0"/>
  </w:style>
  <w:style w:type="character" w:customStyle="1" w:styleId="64">
    <w:name w:val="WW8Num2z3"/>
    <w:qFormat/>
    <w:uiPriority w:val="0"/>
  </w:style>
  <w:style w:type="character" w:customStyle="1" w:styleId="65">
    <w:name w:val="WW8Num2z4"/>
    <w:qFormat/>
    <w:uiPriority w:val="0"/>
  </w:style>
  <w:style w:type="character" w:customStyle="1" w:styleId="66">
    <w:name w:val="WW8Num2z5"/>
    <w:qFormat/>
    <w:uiPriority w:val="0"/>
  </w:style>
  <w:style w:type="character" w:customStyle="1" w:styleId="67">
    <w:name w:val="WW8Num2z6"/>
    <w:qFormat/>
    <w:uiPriority w:val="0"/>
  </w:style>
  <w:style w:type="character" w:customStyle="1" w:styleId="68">
    <w:name w:val="WW8Num2z7"/>
    <w:qFormat/>
    <w:uiPriority w:val="0"/>
  </w:style>
  <w:style w:type="character" w:customStyle="1" w:styleId="69">
    <w:name w:val="WW8Num2z8"/>
    <w:qFormat/>
    <w:uiPriority w:val="0"/>
  </w:style>
  <w:style w:type="character" w:customStyle="1" w:styleId="70">
    <w:name w:val="WW8Num3z0"/>
    <w:qFormat/>
    <w:uiPriority w:val="0"/>
    <w:rPr>
      <w:rFonts w:hint="default" w:ascii="Arial" w:hAnsi="Arial" w:cs="Arial"/>
      <w:b/>
      <w:color w:val="000000"/>
      <w:sz w:val="28"/>
      <w:lang w:val="uk-UA" w:eastAsia="ru-RU"/>
    </w:rPr>
  </w:style>
  <w:style w:type="character" w:customStyle="1" w:styleId="71">
    <w:name w:val="WW8Num4z0"/>
    <w:qFormat/>
    <w:uiPriority w:val="0"/>
    <w:rPr>
      <w:rFonts w:ascii="Symbol" w:hAnsi="Symbol" w:cs="Symbol"/>
    </w:rPr>
  </w:style>
  <w:style w:type="character" w:customStyle="1" w:styleId="72">
    <w:name w:val="WW8Num4z1"/>
    <w:qFormat/>
    <w:uiPriority w:val="0"/>
    <w:rPr>
      <w:rFonts w:ascii="OpenSymbol" w:hAnsi="OpenSymbol" w:cs="OpenSymbol"/>
    </w:rPr>
  </w:style>
  <w:style w:type="character" w:customStyle="1" w:styleId="73">
    <w:name w:val="WW8Num4z2"/>
    <w:qFormat/>
    <w:uiPriority w:val="0"/>
    <w:rPr>
      <w:rFonts w:hint="default" w:ascii="Wingdings" w:hAnsi="Wingdings" w:cs="Wingdings"/>
    </w:rPr>
  </w:style>
  <w:style w:type="character" w:customStyle="1" w:styleId="74">
    <w:name w:val="WW8Num4z3"/>
    <w:qFormat/>
    <w:uiPriority w:val="0"/>
    <w:rPr>
      <w:rFonts w:hint="default" w:ascii="Symbol" w:hAnsi="Symbol" w:cs="Symbol"/>
    </w:rPr>
  </w:style>
  <w:style w:type="character" w:customStyle="1" w:styleId="75">
    <w:name w:val="WW8Num5z0"/>
    <w:qFormat/>
    <w:uiPriority w:val="0"/>
    <w:rPr>
      <w:rFonts w:hint="default" w:ascii="Times New Roman" w:hAnsi="Times New Roman" w:eastAsia="Times New Roman" w:cs="Times New Roman"/>
    </w:rPr>
  </w:style>
  <w:style w:type="character" w:customStyle="1" w:styleId="76">
    <w:name w:val="WW8Num5z1"/>
    <w:qFormat/>
    <w:uiPriority w:val="0"/>
    <w:rPr>
      <w:rFonts w:hint="default" w:ascii="Courier New" w:hAnsi="Courier New" w:cs="Courier New"/>
    </w:rPr>
  </w:style>
  <w:style w:type="character" w:customStyle="1" w:styleId="77">
    <w:name w:val="WW8Num5z2"/>
    <w:qFormat/>
    <w:uiPriority w:val="0"/>
    <w:rPr>
      <w:rFonts w:hint="default" w:ascii="Wingdings" w:hAnsi="Wingdings" w:cs="Wingdings"/>
    </w:rPr>
  </w:style>
  <w:style w:type="character" w:customStyle="1" w:styleId="78">
    <w:name w:val="WW8Num5z3"/>
    <w:qFormat/>
    <w:uiPriority w:val="0"/>
    <w:rPr>
      <w:rFonts w:hint="default" w:ascii="Symbol" w:hAnsi="Symbol" w:cs="Symbol"/>
    </w:rPr>
  </w:style>
  <w:style w:type="character" w:customStyle="1" w:styleId="79">
    <w:name w:val="WW8Num6z0"/>
    <w:qFormat/>
    <w:uiPriority w:val="0"/>
    <w:rPr>
      <w:rFonts w:hint="default" w:ascii="Symbol" w:hAnsi="Symbol" w:cs="Symbol"/>
      <w:sz w:val="20"/>
    </w:rPr>
  </w:style>
  <w:style w:type="character" w:customStyle="1" w:styleId="80">
    <w:name w:val="WW8Num6z1"/>
    <w:qFormat/>
    <w:uiPriority w:val="0"/>
    <w:rPr>
      <w:rFonts w:hint="default" w:ascii="Courier New" w:hAnsi="Courier New" w:cs="Courier New"/>
      <w:sz w:val="20"/>
    </w:rPr>
  </w:style>
  <w:style w:type="character" w:customStyle="1" w:styleId="81">
    <w:name w:val="WW8Num6z2"/>
    <w:qFormat/>
    <w:uiPriority w:val="0"/>
    <w:rPr>
      <w:rFonts w:hint="default" w:ascii="Wingdings" w:hAnsi="Wingdings" w:cs="Wingdings"/>
      <w:sz w:val="20"/>
    </w:rPr>
  </w:style>
  <w:style w:type="character" w:customStyle="1" w:styleId="82">
    <w:name w:val="WW8Num7z0"/>
    <w:qFormat/>
    <w:uiPriority w:val="0"/>
    <w:rPr>
      <w:rFonts w:hint="default" w:ascii="Times New Roman" w:hAnsi="Times New Roman" w:eastAsia="Times New Roman" w:cs="Times New Roman"/>
    </w:rPr>
  </w:style>
  <w:style w:type="character" w:customStyle="1" w:styleId="83">
    <w:name w:val="WW8Num7z1"/>
    <w:qFormat/>
    <w:uiPriority w:val="0"/>
    <w:rPr>
      <w:rFonts w:hint="default" w:ascii="Courier New" w:hAnsi="Courier New" w:cs="Courier New"/>
    </w:rPr>
  </w:style>
  <w:style w:type="character" w:customStyle="1" w:styleId="84">
    <w:name w:val="WW8Num7z2"/>
    <w:qFormat/>
    <w:uiPriority w:val="0"/>
    <w:rPr>
      <w:rFonts w:hint="default" w:ascii="Wingdings" w:hAnsi="Wingdings" w:cs="Wingdings"/>
    </w:rPr>
  </w:style>
  <w:style w:type="character" w:customStyle="1" w:styleId="85">
    <w:name w:val="WW8Num7z3"/>
    <w:qFormat/>
    <w:uiPriority w:val="0"/>
    <w:rPr>
      <w:rFonts w:hint="default" w:ascii="Symbol" w:hAnsi="Symbol" w:cs="Symbol"/>
    </w:rPr>
  </w:style>
  <w:style w:type="character" w:customStyle="1" w:styleId="86">
    <w:name w:val="WW8Num8z0"/>
    <w:qFormat/>
    <w:uiPriority w:val="0"/>
    <w:rPr>
      <w:rFonts w:hint="default" w:ascii="Times New Roman" w:hAnsi="Times New Roman" w:eastAsia="Times New Roman" w:cs="Times New Roman"/>
    </w:rPr>
  </w:style>
  <w:style w:type="character" w:customStyle="1" w:styleId="87">
    <w:name w:val="WW8Num8z1"/>
    <w:qFormat/>
    <w:uiPriority w:val="0"/>
    <w:rPr>
      <w:rFonts w:hint="default" w:ascii="Courier New" w:hAnsi="Courier New" w:cs="Courier New"/>
    </w:rPr>
  </w:style>
  <w:style w:type="character" w:customStyle="1" w:styleId="88">
    <w:name w:val="WW8Num8z2"/>
    <w:qFormat/>
    <w:uiPriority w:val="0"/>
    <w:rPr>
      <w:rFonts w:hint="default" w:ascii="Wingdings" w:hAnsi="Wingdings" w:cs="Wingdings"/>
    </w:rPr>
  </w:style>
  <w:style w:type="character" w:customStyle="1" w:styleId="89">
    <w:name w:val="WW8Num8z3"/>
    <w:qFormat/>
    <w:uiPriority w:val="0"/>
    <w:rPr>
      <w:rFonts w:hint="default" w:ascii="Symbol" w:hAnsi="Symbol" w:cs="Symbol"/>
    </w:rPr>
  </w:style>
  <w:style w:type="character" w:customStyle="1" w:styleId="90">
    <w:name w:val="WW8Num9z0"/>
    <w:qFormat/>
    <w:uiPriority w:val="0"/>
    <w:rPr>
      <w:rFonts w:hint="default" w:ascii="Arial" w:hAnsi="Arial" w:eastAsia="Microsoft YaHei" w:cs="Arial"/>
      <w:b/>
      <w:color w:val="000000"/>
      <w:sz w:val="28"/>
      <w:lang w:val="uk-UA" w:eastAsia="ru-RU"/>
    </w:rPr>
  </w:style>
  <w:style w:type="character" w:customStyle="1" w:styleId="91">
    <w:name w:val="WW8Num9z1"/>
    <w:qFormat/>
    <w:uiPriority w:val="0"/>
    <w:rPr>
      <w:rFonts w:hint="default" w:ascii="Courier New" w:hAnsi="Courier New" w:cs="Courier New"/>
    </w:rPr>
  </w:style>
  <w:style w:type="character" w:customStyle="1" w:styleId="92">
    <w:name w:val="WW8Num9z2"/>
    <w:qFormat/>
    <w:uiPriority w:val="0"/>
    <w:rPr>
      <w:rFonts w:hint="default" w:ascii="Wingdings" w:hAnsi="Wingdings" w:cs="Wingdings"/>
    </w:rPr>
  </w:style>
  <w:style w:type="character" w:customStyle="1" w:styleId="93">
    <w:name w:val="WW8Num9z3"/>
    <w:qFormat/>
    <w:uiPriority w:val="0"/>
    <w:rPr>
      <w:rFonts w:hint="default" w:ascii="Symbol" w:hAnsi="Symbol" w:cs="Symbol"/>
    </w:rPr>
  </w:style>
  <w:style w:type="character" w:customStyle="1" w:styleId="94">
    <w:name w:val="Основной шрифт абзаца14"/>
    <w:qFormat/>
    <w:uiPriority w:val="0"/>
  </w:style>
  <w:style w:type="character" w:customStyle="1" w:styleId="95">
    <w:name w:val="Основной шрифт абзаца13"/>
    <w:qFormat/>
    <w:uiPriority w:val="0"/>
  </w:style>
  <w:style w:type="character" w:customStyle="1" w:styleId="96">
    <w:name w:val="Основной шрифт абзаца12"/>
    <w:qFormat/>
    <w:uiPriority w:val="0"/>
  </w:style>
  <w:style w:type="character" w:customStyle="1" w:styleId="97">
    <w:name w:val="Основной шрифт абзаца11"/>
    <w:qFormat/>
    <w:uiPriority w:val="0"/>
  </w:style>
  <w:style w:type="character" w:customStyle="1" w:styleId="98">
    <w:name w:val="WW8Num3z1"/>
    <w:qFormat/>
    <w:uiPriority w:val="0"/>
    <w:rPr>
      <w:rFonts w:ascii="Times New Roman" w:hAnsi="Times New Roman" w:cs="Times New Roman"/>
      <w:sz w:val="24"/>
      <w:szCs w:val="24"/>
      <w:shd w:val="clear" w:color="auto" w:fill="FFFF00"/>
      <w:lang w:val="uk-UA"/>
    </w:rPr>
  </w:style>
  <w:style w:type="character" w:customStyle="1" w:styleId="99">
    <w:name w:val="WW8Num3z2"/>
    <w:qFormat/>
    <w:uiPriority w:val="0"/>
  </w:style>
  <w:style w:type="character" w:customStyle="1" w:styleId="100">
    <w:name w:val="WW8Num3z3"/>
    <w:qFormat/>
    <w:uiPriority w:val="0"/>
  </w:style>
  <w:style w:type="character" w:customStyle="1" w:styleId="101">
    <w:name w:val="WW8Num3z4"/>
    <w:qFormat/>
    <w:uiPriority w:val="0"/>
  </w:style>
  <w:style w:type="character" w:customStyle="1" w:styleId="102">
    <w:name w:val="WW8Num3z5"/>
    <w:qFormat/>
    <w:uiPriority w:val="0"/>
  </w:style>
  <w:style w:type="character" w:customStyle="1" w:styleId="103">
    <w:name w:val="WW8Num3z6"/>
    <w:qFormat/>
    <w:uiPriority w:val="0"/>
  </w:style>
  <w:style w:type="character" w:customStyle="1" w:styleId="104">
    <w:name w:val="WW8Num3z7"/>
    <w:qFormat/>
    <w:uiPriority w:val="0"/>
  </w:style>
  <w:style w:type="character" w:customStyle="1" w:styleId="105">
    <w:name w:val="WW8Num3z8"/>
    <w:uiPriority w:val="0"/>
  </w:style>
  <w:style w:type="character" w:customStyle="1" w:styleId="106">
    <w:name w:val="Основной шрифт абзаца10"/>
    <w:qFormat/>
    <w:uiPriority w:val="0"/>
  </w:style>
  <w:style w:type="character" w:customStyle="1" w:styleId="107">
    <w:name w:val="WW8Num4z4"/>
    <w:qFormat/>
    <w:uiPriority w:val="0"/>
  </w:style>
  <w:style w:type="character" w:customStyle="1" w:styleId="108">
    <w:name w:val="WW8Num4z5"/>
    <w:uiPriority w:val="0"/>
  </w:style>
  <w:style w:type="character" w:customStyle="1" w:styleId="109">
    <w:name w:val="WW8Num4z6"/>
    <w:uiPriority w:val="0"/>
  </w:style>
  <w:style w:type="character" w:customStyle="1" w:styleId="110">
    <w:name w:val="WW8Num4z7"/>
    <w:qFormat/>
    <w:uiPriority w:val="0"/>
  </w:style>
  <w:style w:type="character" w:customStyle="1" w:styleId="111">
    <w:name w:val="WW8Num4z8"/>
    <w:qFormat/>
    <w:uiPriority w:val="0"/>
  </w:style>
  <w:style w:type="character" w:customStyle="1" w:styleId="112">
    <w:name w:val="Основной шрифт абзаца9"/>
    <w:qFormat/>
    <w:uiPriority w:val="0"/>
  </w:style>
  <w:style w:type="character" w:customStyle="1" w:styleId="113">
    <w:name w:val="Основной шрифт абзаца8"/>
    <w:uiPriority w:val="0"/>
  </w:style>
  <w:style w:type="character" w:customStyle="1" w:styleId="114">
    <w:name w:val="Основной шрифт абзаца7"/>
    <w:qFormat/>
    <w:uiPriority w:val="0"/>
  </w:style>
  <w:style w:type="character" w:customStyle="1" w:styleId="115">
    <w:name w:val="Основной шрифт абзаца6"/>
    <w:uiPriority w:val="0"/>
  </w:style>
  <w:style w:type="character" w:customStyle="1" w:styleId="116">
    <w:name w:val="Основной шрифт абзаца5"/>
    <w:qFormat/>
    <w:uiPriority w:val="0"/>
  </w:style>
  <w:style w:type="character" w:customStyle="1" w:styleId="117">
    <w:name w:val="Основной шрифт абзаца4"/>
    <w:qFormat/>
    <w:uiPriority w:val="0"/>
  </w:style>
  <w:style w:type="character" w:customStyle="1" w:styleId="118">
    <w:name w:val="Основной шрифт абзаца3"/>
    <w:qFormat/>
    <w:uiPriority w:val="0"/>
  </w:style>
  <w:style w:type="character" w:customStyle="1" w:styleId="119">
    <w:name w:val="Основной шрифт абзаца2"/>
    <w:qFormat/>
    <w:uiPriority w:val="0"/>
  </w:style>
  <w:style w:type="character" w:customStyle="1" w:styleId="120">
    <w:name w:val="WW8Num7z4"/>
    <w:qFormat/>
    <w:uiPriority w:val="0"/>
  </w:style>
  <w:style w:type="character" w:customStyle="1" w:styleId="121">
    <w:name w:val="WW8Num7z5"/>
    <w:uiPriority w:val="0"/>
  </w:style>
  <w:style w:type="character" w:customStyle="1" w:styleId="122">
    <w:name w:val="WW8Num7z6"/>
    <w:qFormat/>
    <w:uiPriority w:val="0"/>
  </w:style>
  <w:style w:type="character" w:customStyle="1" w:styleId="123">
    <w:name w:val="WW8Num7z7"/>
    <w:qFormat/>
    <w:uiPriority w:val="0"/>
  </w:style>
  <w:style w:type="character" w:customStyle="1" w:styleId="124">
    <w:name w:val="WW8Num7z8"/>
    <w:qFormat/>
    <w:uiPriority w:val="0"/>
  </w:style>
  <w:style w:type="character" w:customStyle="1" w:styleId="125">
    <w:name w:val="WW8Num8z4"/>
    <w:uiPriority w:val="0"/>
  </w:style>
  <w:style w:type="character" w:customStyle="1" w:styleId="126">
    <w:name w:val="WW8Num8z5"/>
    <w:qFormat/>
    <w:uiPriority w:val="0"/>
  </w:style>
  <w:style w:type="character" w:customStyle="1" w:styleId="127">
    <w:name w:val="WW8Num8z6"/>
    <w:qFormat/>
    <w:uiPriority w:val="0"/>
  </w:style>
  <w:style w:type="character" w:customStyle="1" w:styleId="128">
    <w:name w:val="WW8Num8z7"/>
    <w:qFormat/>
    <w:uiPriority w:val="0"/>
  </w:style>
  <w:style w:type="character" w:customStyle="1" w:styleId="129">
    <w:name w:val="WW8Num8z8"/>
    <w:qFormat/>
    <w:uiPriority w:val="0"/>
  </w:style>
  <w:style w:type="character" w:customStyle="1" w:styleId="130">
    <w:name w:val="WW8Num9z4"/>
    <w:uiPriority w:val="0"/>
  </w:style>
  <w:style w:type="character" w:customStyle="1" w:styleId="131">
    <w:name w:val="WW8Num9z5"/>
    <w:qFormat/>
    <w:uiPriority w:val="0"/>
  </w:style>
  <w:style w:type="character" w:customStyle="1" w:styleId="132">
    <w:name w:val="WW8Num9z6"/>
    <w:qFormat/>
    <w:uiPriority w:val="0"/>
  </w:style>
  <w:style w:type="character" w:customStyle="1" w:styleId="133">
    <w:name w:val="WW8Num9z7"/>
    <w:qFormat/>
    <w:uiPriority w:val="0"/>
  </w:style>
  <w:style w:type="character" w:customStyle="1" w:styleId="134">
    <w:name w:val="WW8Num9z8"/>
    <w:qFormat/>
    <w:uiPriority w:val="0"/>
  </w:style>
  <w:style w:type="character" w:customStyle="1" w:styleId="135">
    <w:name w:val="WW8Num10z0"/>
    <w:uiPriority w:val="0"/>
    <w:rPr>
      <w:rFonts w:ascii="Symbol" w:hAnsi="Symbol" w:cs="Symbol"/>
      <w:sz w:val="24"/>
      <w:szCs w:val="24"/>
    </w:rPr>
  </w:style>
  <w:style w:type="character" w:customStyle="1" w:styleId="136">
    <w:name w:val="WW8Num10z1"/>
    <w:qFormat/>
    <w:uiPriority w:val="0"/>
    <w:rPr>
      <w:rFonts w:ascii="Courier New" w:hAnsi="Courier New" w:cs="Courier New"/>
    </w:rPr>
  </w:style>
  <w:style w:type="character" w:customStyle="1" w:styleId="137">
    <w:name w:val="WW8Num10z2"/>
    <w:uiPriority w:val="0"/>
    <w:rPr>
      <w:rFonts w:ascii="Wingdings" w:hAnsi="Wingdings" w:cs="Wingdings"/>
    </w:rPr>
  </w:style>
  <w:style w:type="character" w:customStyle="1" w:styleId="138">
    <w:name w:val="WW8Num11z0"/>
    <w:qFormat/>
    <w:uiPriority w:val="0"/>
    <w:rPr>
      <w:rFonts w:ascii="Symbol" w:hAnsi="Symbol" w:cs="Symbol"/>
      <w:sz w:val="24"/>
      <w:szCs w:val="24"/>
    </w:rPr>
  </w:style>
  <w:style w:type="character" w:customStyle="1" w:styleId="139">
    <w:name w:val="WW8Num11z1"/>
    <w:uiPriority w:val="0"/>
    <w:rPr>
      <w:rFonts w:ascii="Courier New" w:hAnsi="Courier New" w:cs="Courier New"/>
    </w:rPr>
  </w:style>
  <w:style w:type="character" w:customStyle="1" w:styleId="140">
    <w:name w:val="WW8Num11z2"/>
    <w:uiPriority w:val="0"/>
    <w:rPr>
      <w:rFonts w:ascii="Wingdings" w:hAnsi="Wingdings" w:cs="Wingdings"/>
    </w:rPr>
  </w:style>
  <w:style w:type="character" w:customStyle="1" w:styleId="141">
    <w:name w:val="WW8Num12z0"/>
    <w:uiPriority w:val="0"/>
    <w:rPr>
      <w:rFonts w:ascii="Times New Roman" w:hAnsi="Times New Roman" w:eastAsia="Times New Roman" w:cs="Times New Roman"/>
      <w:lang w:val="uk-UA"/>
    </w:rPr>
  </w:style>
  <w:style w:type="character" w:customStyle="1" w:styleId="142">
    <w:name w:val="WW8Num12z1"/>
    <w:qFormat/>
    <w:uiPriority w:val="0"/>
  </w:style>
  <w:style w:type="character" w:customStyle="1" w:styleId="143">
    <w:name w:val="WW8Num12z2"/>
    <w:qFormat/>
    <w:uiPriority w:val="0"/>
    <w:rPr>
      <w:rFonts w:ascii="Wingdings" w:hAnsi="Wingdings" w:cs="Wingdings"/>
    </w:rPr>
  </w:style>
  <w:style w:type="character" w:customStyle="1" w:styleId="144">
    <w:name w:val="WW8Num12z3"/>
    <w:qFormat/>
    <w:uiPriority w:val="0"/>
    <w:rPr>
      <w:rFonts w:ascii="Symbol" w:hAnsi="Symbol" w:cs="Symbol"/>
    </w:rPr>
  </w:style>
  <w:style w:type="character" w:customStyle="1" w:styleId="145">
    <w:name w:val="WW8Num12z4"/>
    <w:qFormat/>
    <w:uiPriority w:val="0"/>
    <w:rPr>
      <w:rFonts w:ascii="Courier New" w:hAnsi="Courier New" w:cs="Courier New"/>
    </w:rPr>
  </w:style>
  <w:style w:type="character" w:customStyle="1" w:styleId="146">
    <w:name w:val="WW8Num13z0"/>
    <w:uiPriority w:val="0"/>
  </w:style>
  <w:style w:type="character" w:customStyle="1" w:styleId="147">
    <w:name w:val="WW8Num13z1"/>
    <w:qFormat/>
    <w:uiPriority w:val="0"/>
  </w:style>
  <w:style w:type="character" w:customStyle="1" w:styleId="148">
    <w:name w:val="WW8Num13z2"/>
    <w:qFormat/>
    <w:uiPriority w:val="0"/>
  </w:style>
  <w:style w:type="character" w:customStyle="1" w:styleId="149">
    <w:name w:val="WW8Num13z3"/>
    <w:qFormat/>
    <w:uiPriority w:val="0"/>
  </w:style>
  <w:style w:type="character" w:customStyle="1" w:styleId="150">
    <w:name w:val="WW8Num13z4"/>
    <w:qFormat/>
    <w:uiPriority w:val="0"/>
  </w:style>
  <w:style w:type="character" w:customStyle="1" w:styleId="151">
    <w:name w:val="WW8Num13z5"/>
    <w:uiPriority w:val="0"/>
  </w:style>
  <w:style w:type="character" w:customStyle="1" w:styleId="152">
    <w:name w:val="WW8Num13z6"/>
    <w:uiPriority w:val="0"/>
  </w:style>
  <w:style w:type="character" w:customStyle="1" w:styleId="153">
    <w:name w:val="WW8Num13z7"/>
    <w:qFormat/>
    <w:uiPriority w:val="0"/>
  </w:style>
  <w:style w:type="character" w:customStyle="1" w:styleId="154">
    <w:name w:val="WW8Num13z8"/>
    <w:qFormat/>
    <w:uiPriority w:val="0"/>
  </w:style>
  <w:style w:type="character" w:customStyle="1" w:styleId="155">
    <w:name w:val="Основной шрифт абзаца1"/>
    <w:qFormat/>
    <w:uiPriority w:val="0"/>
  </w:style>
  <w:style w:type="character" w:customStyle="1" w:styleId="156">
    <w:name w:val="Знак Знак1"/>
    <w:uiPriority w:val="0"/>
    <w:rPr>
      <w:sz w:val="24"/>
      <w:szCs w:val="24"/>
      <w:lang w:val="ru-RU" w:bidi="ar-SA"/>
    </w:rPr>
  </w:style>
  <w:style w:type="character" w:customStyle="1" w:styleId="157">
    <w:name w:val="Body Text Знак"/>
    <w:qFormat/>
    <w:uiPriority w:val="0"/>
    <w:rPr>
      <w:rFonts w:ascii="Arial" w:hAnsi="Arial" w:cs="Arial"/>
      <w:sz w:val="24"/>
      <w:lang w:val="ru-RU" w:bidi="ar-SA"/>
    </w:rPr>
  </w:style>
  <w:style w:type="character" w:customStyle="1" w:styleId="158">
    <w:name w:val="apple-style-span"/>
    <w:qFormat/>
    <w:uiPriority w:val="0"/>
  </w:style>
  <w:style w:type="character" w:customStyle="1" w:styleId="159">
    <w:name w:val="hps"/>
    <w:qFormat/>
    <w:uiPriority w:val="0"/>
  </w:style>
  <w:style w:type="character" w:customStyle="1" w:styleId="160">
    <w:name w:val="Знак примечания1"/>
    <w:qFormat/>
    <w:uiPriority w:val="0"/>
    <w:rPr>
      <w:sz w:val="16"/>
      <w:szCs w:val="16"/>
    </w:rPr>
  </w:style>
  <w:style w:type="character" w:customStyle="1" w:styleId="161">
    <w:name w:val="Текст примечания Знак"/>
    <w:qFormat/>
    <w:uiPriority w:val="0"/>
    <w:rPr>
      <w:lang w:eastAsia="zh-CN"/>
    </w:rPr>
  </w:style>
  <w:style w:type="character" w:customStyle="1" w:styleId="162">
    <w:name w:val="Тема примечания Знак"/>
    <w:qFormat/>
    <w:uiPriority w:val="0"/>
    <w:rPr>
      <w:b/>
      <w:bCs/>
      <w:lang w:eastAsia="zh-CN"/>
    </w:rPr>
  </w:style>
  <w:style w:type="character" w:customStyle="1" w:styleId="163">
    <w:name w:val="Шрифт абзацу за промовчанням1"/>
    <w:qFormat/>
    <w:uiPriority w:val="0"/>
  </w:style>
  <w:style w:type="character" w:customStyle="1" w:styleId="164">
    <w:name w:val="gt-trans-draggable"/>
    <w:uiPriority w:val="0"/>
  </w:style>
  <w:style w:type="character" w:customStyle="1" w:styleId="165">
    <w:name w:val="Символ нумерации"/>
    <w:uiPriority w:val="0"/>
  </w:style>
  <w:style w:type="character" w:customStyle="1" w:styleId="166">
    <w:name w:val="Знак примечания2"/>
    <w:qFormat/>
    <w:uiPriority w:val="0"/>
    <w:rPr>
      <w:sz w:val="16"/>
      <w:szCs w:val="16"/>
    </w:rPr>
  </w:style>
  <w:style w:type="character" w:customStyle="1" w:styleId="167">
    <w:name w:val="Схема документа Знак"/>
    <w:qFormat/>
    <w:uiPriority w:val="0"/>
    <w:rPr>
      <w:rFonts w:ascii="Tahoma" w:hAnsi="Tahoma" w:cs="Tahoma"/>
      <w:sz w:val="16"/>
      <w:szCs w:val="16"/>
      <w:lang w:eastAsia="zh-CN"/>
    </w:rPr>
  </w:style>
  <w:style w:type="character" w:customStyle="1" w:styleId="168">
    <w:name w:val="Назва Знак"/>
    <w:link w:val="4"/>
    <w:uiPriority w:val="0"/>
    <w:rPr>
      <w:rFonts w:ascii="Arial" w:hAnsi="Arial" w:eastAsia="Microsoft YaHei" w:cs="Mangal"/>
      <w:sz w:val="28"/>
      <w:szCs w:val="28"/>
      <w:lang w:eastAsia="zh-CN"/>
    </w:rPr>
  </w:style>
  <w:style w:type="character" w:customStyle="1" w:styleId="169">
    <w:name w:val="Основний текст Знак"/>
    <w:link w:val="5"/>
    <w:qFormat/>
    <w:uiPriority w:val="0"/>
    <w:rPr>
      <w:rFonts w:ascii="Arial" w:hAnsi="Arial" w:cs="Arial"/>
      <w:lang w:val="en-GB" w:eastAsia="zh-CN"/>
    </w:rPr>
  </w:style>
  <w:style w:type="paragraph" w:customStyle="1" w:styleId="170">
    <w:name w:val="Указатель14"/>
    <w:basedOn w:val="1"/>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71">
    <w:name w:val="Название объекта14"/>
    <w:basedOn w:val="1"/>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72">
    <w:name w:val="Указатель13"/>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73">
    <w:name w:val="Название объекта13"/>
    <w:basedOn w:val="1"/>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74">
    <w:name w:val="Указатель12"/>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75">
    <w:name w:val="Название объекта12"/>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76">
    <w:name w:val="Указатель11"/>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77">
    <w:name w:val="Название объекта11"/>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78">
    <w:name w:val="Указатель10"/>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79">
    <w:name w:val="Название объекта10"/>
    <w:basedOn w:val="1"/>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80">
    <w:name w:val="Указатель9"/>
    <w:basedOn w:val="1"/>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81">
    <w:name w:val="Название объекта9"/>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82">
    <w:name w:val="Указатель8"/>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83">
    <w:name w:val="Название объекта8"/>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84">
    <w:name w:val="Указатель7"/>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85">
    <w:name w:val="Название объекта7"/>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86">
    <w:name w:val="Указатель6"/>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87">
    <w:name w:val="Название объекта6"/>
    <w:basedOn w:val="1"/>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88">
    <w:name w:val="Указатель5"/>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89">
    <w:name w:val="Название объекта5"/>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90">
    <w:name w:val="Указатель4"/>
    <w:basedOn w:val="1"/>
    <w:qFormat/>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91">
    <w:name w:val="Название объекта4"/>
    <w:basedOn w:val="4"/>
    <w:next w:val="5"/>
    <w:qFormat/>
    <w:uiPriority w:val="0"/>
    <w:pPr>
      <w:jc w:val="center"/>
    </w:pPr>
    <w:rPr>
      <w:b/>
      <w:bCs/>
      <w:sz w:val="36"/>
      <w:szCs w:val="36"/>
    </w:rPr>
  </w:style>
  <w:style w:type="paragraph" w:customStyle="1" w:styleId="192">
    <w:name w:val="Указатель3"/>
    <w:basedOn w:val="1"/>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93">
    <w:name w:val="Название объекта3"/>
    <w:basedOn w:val="1"/>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94">
    <w:name w:val="Указатель2"/>
    <w:basedOn w:val="1"/>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95">
    <w:name w:val="Название объекта2"/>
    <w:basedOn w:val="1"/>
    <w:qFormat/>
    <w:uiPriority w:val="0"/>
    <w:pPr>
      <w:suppressLineNumbers/>
      <w:spacing w:before="120" w:after="120" w:line="240" w:lineRule="auto"/>
    </w:pPr>
    <w:rPr>
      <w:rFonts w:ascii="Times New Roman" w:hAnsi="Times New Roman" w:eastAsia="Times New Roman" w:cs="Mangal"/>
      <w:i/>
      <w:iCs/>
      <w:sz w:val="24"/>
      <w:szCs w:val="24"/>
      <w:lang w:val="ru-RU" w:eastAsia="zh-CN"/>
    </w:rPr>
  </w:style>
  <w:style w:type="paragraph" w:customStyle="1" w:styleId="196">
    <w:name w:val="Указатель1"/>
    <w:basedOn w:val="1"/>
    <w:uiPriority w:val="0"/>
    <w:pPr>
      <w:suppressLineNumbers/>
      <w:spacing w:after="0" w:line="240" w:lineRule="auto"/>
    </w:pPr>
    <w:rPr>
      <w:rFonts w:ascii="Times New Roman" w:hAnsi="Times New Roman" w:eastAsia="Times New Roman" w:cs="Mangal"/>
      <w:sz w:val="24"/>
      <w:szCs w:val="24"/>
      <w:lang w:val="ru-RU" w:eastAsia="zh-CN"/>
    </w:rPr>
  </w:style>
  <w:style w:type="paragraph" w:customStyle="1" w:styleId="197">
    <w:name w:val="Знак1 Знак Знак Знак Знак Знак Знак Знак Знак Знак"/>
    <w:basedOn w:val="1"/>
    <w:qFormat/>
    <w:uiPriority w:val="0"/>
    <w:pPr>
      <w:spacing w:after="0" w:line="240" w:lineRule="auto"/>
    </w:pPr>
    <w:rPr>
      <w:rFonts w:ascii="Verdana" w:hAnsi="Verdana" w:eastAsia="Times New Roman" w:cs="Verdana"/>
      <w:sz w:val="24"/>
      <w:szCs w:val="24"/>
      <w:lang w:val="en-US" w:eastAsia="zh-CN"/>
    </w:rPr>
  </w:style>
  <w:style w:type="character" w:customStyle="1" w:styleId="198">
    <w:name w:val="Стандартний HTML Знак"/>
    <w:link w:val="19"/>
    <w:qFormat/>
    <w:uiPriority w:val="0"/>
    <w:rPr>
      <w:rFonts w:ascii="Courier New" w:hAnsi="Courier New" w:eastAsia="Courier New" w:cs="Courier New"/>
      <w:lang w:eastAsia="zh-CN"/>
    </w:rPr>
  </w:style>
  <w:style w:type="paragraph" w:customStyle="1" w:styleId="199">
    <w:name w:val="Нормальний текст"/>
    <w:basedOn w:val="1"/>
    <w:uiPriority w:val="0"/>
    <w:pPr>
      <w:spacing w:before="120" w:after="0" w:line="240" w:lineRule="auto"/>
      <w:ind w:firstLine="567"/>
      <w:jc w:val="both"/>
    </w:pPr>
    <w:rPr>
      <w:rFonts w:ascii="Antiqua" w:hAnsi="Antiqua" w:eastAsia="Times New Roman" w:cs="Antiqua"/>
      <w:sz w:val="26"/>
      <w:szCs w:val="20"/>
      <w:lang w:eastAsia="zh-CN"/>
    </w:rPr>
  </w:style>
  <w:style w:type="character" w:customStyle="1" w:styleId="200">
    <w:name w:val="Текст у виносці Знак"/>
    <w:link w:val="10"/>
    <w:qFormat/>
    <w:uiPriority w:val="99"/>
    <w:rPr>
      <w:rFonts w:ascii="Tahoma" w:hAnsi="Tahoma" w:cs="Tahoma"/>
      <w:sz w:val="16"/>
      <w:szCs w:val="16"/>
      <w:lang w:eastAsia="zh-CN"/>
    </w:rPr>
  </w:style>
  <w:style w:type="paragraph" w:customStyle="1" w:styleId="201">
    <w:name w:val="Знак Знак Знак Знак"/>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02">
    <w:name w:val="Основной текст 31"/>
    <w:basedOn w:val="1"/>
    <w:qFormat/>
    <w:uiPriority w:val="0"/>
    <w:pPr>
      <w:spacing w:after="120" w:line="240" w:lineRule="auto"/>
    </w:pPr>
    <w:rPr>
      <w:rFonts w:ascii="Times New Roman" w:hAnsi="Times New Roman" w:eastAsia="Times New Roman"/>
      <w:sz w:val="16"/>
      <w:szCs w:val="16"/>
      <w:lang w:val="ru-RU" w:eastAsia="zh-CN"/>
    </w:rPr>
  </w:style>
  <w:style w:type="character" w:customStyle="1" w:styleId="203">
    <w:name w:val="Основний текст з відступом Знак"/>
    <w:link w:val="12"/>
    <w:qFormat/>
    <w:uiPriority w:val="0"/>
    <w:rPr>
      <w:sz w:val="24"/>
      <w:szCs w:val="24"/>
      <w:lang w:eastAsia="zh-CN"/>
    </w:rPr>
  </w:style>
  <w:style w:type="paragraph" w:customStyle="1" w:styleId="204">
    <w:name w:val="Знак1 Знак Знак Знак"/>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05">
    <w:name w:val="Название объекта1"/>
    <w:basedOn w:val="1"/>
    <w:next w:val="1"/>
    <w:uiPriority w:val="0"/>
    <w:pPr>
      <w:suppressAutoHyphens/>
      <w:spacing w:before="120" w:after="120" w:line="240" w:lineRule="auto"/>
    </w:pPr>
    <w:rPr>
      <w:rFonts w:ascii="Times New Roman" w:hAnsi="Times New Roman" w:eastAsia="Times New Roman"/>
      <w:b/>
      <w:bCs/>
      <w:sz w:val="20"/>
      <w:szCs w:val="20"/>
      <w:lang w:eastAsia="zh-CN"/>
    </w:rPr>
  </w:style>
  <w:style w:type="paragraph" w:customStyle="1" w:styleId="206">
    <w:name w:val="Основной текст 32"/>
    <w:basedOn w:val="1"/>
    <w:uiPriority w:val="0"/>
    <w:pPr>
      <w:suppressAutoHyphens/>
      <w:spacing w:after="120" w:line="240" w:lineRule="auto"/>
    </w:pPr>
    <w:rPr>
      <w:rFonts w:ascii="Times New Roman" w:hAnsi="Times New Roman" w:eastAsia="Times New Roman"/>
      <w:sz w:val="16"/>
      <w:szCs w:val="16"/>
      <w:lang w:eastAsia="zh-CN"/>
    </w:rPr>
  </w:style>
  <w:style w:type="paragraph" w:customStyle="1" w:styleId="20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eastAsia="Times New Roman" w:cs="Courier New"/>
      <w:sz w:val="20"/>
      <w:szCs w:val="20"/>
      <w:lang w:eastAsia="zh-CN"/>
    </w:rPr>
  </w:style>
  <w:style w:type="paragraph" w:customStyle="1" w:styleId="208">
    <w:name w:val="Знак2"/>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09">
    <w:name w:val="Основной текст с отступом 21"/>
    <w:basedOn w:val="1"/>
    <w:qFormat/>
    <w:uiPriority w:val="0"/>
    <w:pPr>
      <w:spacing w:after="120" w:line="480" w:lineRule="auto"/>
      <w:ind w:left="283"/>
    </w:pPr>
    <w:rPr>
      <w:rFonts w:ascii="Times New Roman" w:hAnsi="Times New Roman" w:eastAsia="Times New Roman"/>
      <w:sz w:val="24"/>
      <w:szCs w:val="24"/>
      <w:lang w:val="ru-RU" w:eastAsia="zh-CN"/>
    </w:rPr>
  </w:style>
  <w:style w:type="paragraph" w:customStyle="1" w:styleId="210">
    <w:name w:val="Схема документа1"/>
    <w:basedOn w:val="1"/>
    <w:uiPriority w:val="0"/>
    <w:pPr>
      <w:shd w:val="clear" w:color="auto" w:fill="000080"/>
      <w:spacing w:after="0" w:line="240" w:lineRule="auto"/>
    </w:pPr>
    <w:rPr>
      <w:rFonts w:ascii="Tahoma" w:hAnsi="Tahoma" w:eastAsia="Times New Roman" w:cs="Tahoma"/>
      <w:sz w:val="20"/>
      <w:szCs w:val="20"/>
      <w:lang w:val="ru-RU" w:eastAsia="zh-CN"/>
    </w:rPr>
  </w:style>
  <w:style w:type="paragraph" w:customStyle="1" w:styleId="211">
    <w:name w:val="Знак Знак Знак Знак Знак Знак Знак"/>
    <w:basedOn w:val="1"/>
    <w:qFormat/>
    <w:uiPriority w:val="0"/>
    <w:pPr>
      <w:spacing w:after="0" w:line="240" w:lineRule="auto"/>
    </w:pPr>
    <w:rPr>
      <w:rFonts w:ascii="Verdana" w:hAnsi="Verdana" w:eastAsia="Times New Roman" w:cs="Verdana"/>
      <w:sz w:val="20"/>
      <w:szCs w:val="20"/>
      <w:lang w:val="en-US" w:eastAsia="zh-CN"/>
    </w:rPr>
  </w:style>
  <w:style w:type="paragraph" w:customStyle="1" w:styleId="212">
    <w:name w:val="Знак1 Знак Знак Знак Знак Знак Знак Знак Знак Знак1"/>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13">
    <w:name w:val="Знак Знак Знак Знак Знак Знак Знак1"/>
    <w:basedOn w:val="1"/>
    <w:qFormat/>
    <w:uiPriority w:val="0"/>
    <w:pPr>
      <w:spacing w:after="0" w:line="240" w:lineRule="auto"/>
    </w:pPr>
    <w:rPr>
      <w:rFonts w:ascii="Verdana" w:hAnsi="Verdana" w:eastAsia="Times New Roman" w:cs="Verdana"/>
      <w:sz w:val="20"/>
      <w:szCs w:val="20"/>
      <w:lang w:val="en-US" w:eastAsia="zh-CN"/>
    </w:rPr>
  </w:style>
  <w:style w:type="paragraph" w:customStyle="1" w:styleId="214">
    <w:name w:val="Знак3 Знак Знак Знак"/>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15">
    <w:name w:val="Содержимое таблицы"/>
    <w:basedOn w:val="1"/>
    <w:qFormat/>
    <w:uiPriority w:val="0"/>
    <w:pPr>
      <w:suppressLineNumbers/>
      <w:spacing w:after="0" w:line="240" w:lineRule="auto"/>
    </w:pPr>
    <w:rPr>
      <w:rFonts w:ascii="Times New Roman" w:hAnsi="Times New Roman" w:eastAsia="Times New Roman"/>
      <w:sz w:val="24"/>
      <w:szCs w:val="24"/>
      <w:lang w:val="ru-RU" w:eastAsia="zh-CN"/>
    </w:rPr>
  </w:style>
  <w:style w:type="paragraph" w:customStyle="1" w:styleId="216">
    <w:name w:val="Заголовок таблицы"/>
    <w:basedOn w:val="215"/>
    <w:qFormat/>
    <w:uiPriority w:val="0"/>
    <w:pPr>
      <w:jc w:val="center"/>
    </w:pPr>
    <w:rPr>
      <w:b/>
      <w:bCs/>
    </w:rPr>
  </w:style>
  <w:style w:type="paragraph" w:customStyle="1" w:styleId="217">
    <w:name w:val="Содержимое врезки"/>
    <w:basedOn w:val="1"/>
    <w:uiPriority w:val="0"/>
    <w:pPr>
      <w:spacing w:after="0" w:line="240" w:lineRule="auto"/>
    </w:pPr>
    <w:rPr>
      <w:rFonts w:ascii="Times New Roman" w:hAnsi="Times New Roman" w:eastAsia="Times New Roman"/>
      <w:sz w:val="24"/>
      <w:szCs w:val="24"/>
      <w:lang w:val="ru-RU" w:eastAsia="zh-CN"/>
    </w:rPr>
  </w:style>
  <w:style w:type="character" w:customStyle="1" w:styleId="218">
    <w:name w:val="Текст примітки Знак"/>
    <w:link w:val="14"/>
    <w:uiPriority w:val="99"/>
    <w:rPr>
      <w:rFonts w:ascii="Calibri" w:hAnsi="Calibri" w:eastAsia="Calibri"/>
      <w:lang w:val="uk-UA" w:eastAsia="en-US"/>
    </w:rPr>
  </w:style>
  <w:style w:type="character" w:customStyle="1" w:styleId="219">
    <w:name w:val="Тема примітки Знак"/>
    <w:link w:val="15"/>
    <w:uiPriority w:val="0"/>
    <w:rPr>
      <w:rFonts w:ascii="Calibri" w:hAnsi="Calibri" w:eastAsia="Calibri"/>
      <w:b/>
      <w:bCs/>
      <w:lang w:val="uk-UA" w:eastAsia="zh-CN"/>
    </w:rPr>
  </w:style>
  <w:style w:type="paragraph" w:customStyle="1" w:styleId="220">
    <w:name w:val="LO-Normal"/>
    <w:uiPriority w:val="0"/>
    <w:pPr>
      <w:suppressAutoHyphens/>
    </w:pPr>
    <w:rPr>
      <w:rFonts w:ascii="Times New Roman" w:hAnsi="Times New Roman" w:eastAsia="Times New Roman" w:cs="Times New Roman"/>
      <w:lang w:val="ru-RU" w:eastAsia="zh-CN" w:bidi="ar-SA"/>
    </w:rPr>
  </w:style>
  <w:style w:type="paragraph" w:customStyle="1" w:styleId="221">
    <w:name w:val="Цитата1"/>
    <w:basedOn w:val="1"/>
    <w:qFormat/>
    <w:uiPriority w:val="0"/>
    <w:pPr>
      <w:spacing w:after="283" w:line="240" w:lineRule="auto"/>
      <w:ind w:left="567" w:right="567"/>
    </w:pPr>
    <w:rPr>
      <w:rFonts w:ascii="Times New Roman" w:hAnsi="Times New Roman" w:eastAsia="Times New Roman"/>
      <w:sz w:val="24"/>
      <w:szCs w:val="24"/>
      <w:lang w:val="ru-RU" w:eastAsia="zh-CN"/>
    </w:rPr>
  </w:style>
  <w:style w:type="character" w:customStyle="1" w:styleId="222">
    <w:name w:val="Підзаголовок Знак"/>
    <w:link w:val="26"/>
    <w:qFormat/>
    <w:uiPriority w:val="0"/>
    <w:rPr>
      <w:rFonts w:ascii="Arial" w:hAnsi="Arial" w:eastAsia="Microsoft YaHei" w:cs="Mangal"/>
      <w:i/>
      <w:iCs/>
      <w:sz w:val="28"/>
      <w:szCs w:val="28"/>
      <w:lang w:eastAsia="zh-CN"/>
    </w:rPr>
  </w:style>
  <w:style w:type="paragraph" w:customStyle="1" w:styleId="223">
    <w:name w:val="Нумерований список1"/>
    <w:basedOn w:val="1"/>
    <w:qFormat/>
    <w:uiPriority w:val="0"/>
    <w:pPr>
      <w:tabs>
        <w:tab w:val="left" w:pos="720"/>
      </w:tabs>
      <w:suppressAutoHyphens/>
      <w:spacing w:after="0" w:line="240" w:lineRule="auto"/>
      <w:ind w:left="720" w:hanging="720"/>
      <w:jc w:val="both"/>
    </w:pPr>
    <w:rPr>
      <w:rFonts w:ascii="Arial" w:hAnsi="Arial" w:eastAsia="Times New Roman" w:cs="Arial"/>
      <w:szCs w:val="24"/>
      <w:lang w:eastAsia="zh-CN"/>
    </w:rPr>
  </w:style>
  <w:style w:type="paragraph" w:customStyle="1" w:styleId="224">
    <w:name w:val="Схема документа2"/>
    <w:basedOn w:val="1"/>
    <w:uiPriority w:val="0"/>
    <w:pPr>
      <w:spacing w:after="0" w:line="240" w:lineRule="auto"/>
    </w:pPr>
    <w:rPr>
      <w:rFonts w:ascii="Tahoma" w:hAnsi="Tahoma" w:eastAsia="Times New Roman" w:cs="Tahoma"/>
      <w:sz w:val="16"/>
      <w:szCs w:val="16"/>
      <w:lang w:val="ru-RU" w:eastAsia="zh-CN"/>
    </w:rPr>
  </w:style>
  <w:style w:type="paragraph" w:customStyle="1" w:styleId="225">
    <w:name w:val="western"/>
    <w:basedOn w:val="1"/>
    <w:qFormat/>
    <w:uiPriority w:val="0"/>
    <w:pPr>
      <w:spacing w:before="280" w:after="119" w:line="240" w:lineRule="auto"/>
    </w:pPr>
    <w:rPr>
      <w:rFonts w:ascii="Times New Roman" w:hAnsi="Times New Roman" w:eastAsia="Times New Roman"/>
      <w:color w:val="000000"/>
      <w:sz w:val="20"/>
      <w:szCs w:val="20"/>
      <w:lang w:val="ru-RU" w:eastAsia="zh-CN"/>
    </w:rPr>
  </w:style>
  <w:style w:type="table" w:customStyle="1" w:styleId="226">
    <w:name w:val="Сетка таблицы1"/>
    <w:basedOn w:val="9"/>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27">
    <w:name w:val="List Paragraph"/>
    <w:basedOn w:val="1"/>
    <w:qFormat/>
    <w:uiPriority w:val="34"/>
    <w:pPr>
      <w:spacing w:after="0" w:line="240" w:lineRule="auto"/>
      <w:ind w:left="720" w:firstLine="709"/>
      <w:contextualSpacing/>
      <w:jc w:val="both"/>
    </w:pPr>
    <w:rPr>
      <w:rFonts w:ascii="Times New Roman" w:hAnsi="Times New Roman"/>
      <w:sz w:val="24"/>
      <w:lang w:val="ru-RU"/>
    </w:rPr>
  </w:style>
  <w:style w:type="paragraph" w:customStyle="1" w:styleId="228">
    <w:name w:val="Òåêñò"/>
    <w:qFormat/>
    <w:uiPriority w:val="0"/>
    <w:pPr>
      <w:widowControl w:val="0"/>
      <w:spacing w:line="210" w:lineRule="atLeast"/>
      <w:ind w:firstLine="454"/>
      <w:jc w:val="both"/>
    </w:pPr>
    <w:rPr>
      <w:rFonts w:ascii="Times New Roman" w:hAnsi="Times New Roman" w:eastAsia="Times New Roman" w:cs="Times New Roman"/>
      <w:color w:val="000000"/>
      <w:lang w:val="en-US" w:eastAsia="ru-RU" w:bidi="ar-SA"/>
    </w:rPr>
  </w:style>
  <w:style w:type="paragraph" w:customStyle="1" w:styleId="229">
    <w:name w:val="ДинТекстОбыч"/>
    <w:basedOn w:val="1"/>
    <w:qFormat/>
    <w:uiPriority w:val="0"/>
    <w:pPr>
      <w:widowControl w:val="0"/>
      <w:spacing w:after="0" w:line="240" w:lineRule="auto"/>
      <w:ind w:firstLine="567"/>
      <w:jc w:val="both"/>
    </w:pPr>
    <w:rPr>
      <w:rFonts w:ascii="Times New Roman" w:hAnsi="Times New Roman" w:eastAsia="Times New Roman"/>
      <w:color w:val="000000"/>
      <w:szCs w:val="20"/>
      <w:lang w:eastAsia="ru-RU"/>
    </w:rPr>
  </w:style>
  <w:style w:type="character" w:customStyle="1" w:styleId="230">
    <w:name w:val="Body text (3)"/>
    <w:qFormat/>
    <w:uiPriority w:val="0"/>
    <w:rPr>
      <w:rFonts w:ascii="Times New Roman" w:hAnsi="Times New Roman" w:eastAsia="Times New Roman" w:cs="Times New Roman"/>
      <w:b/>
      <w:bCs/>
      <w:color w:val="000000"/>
      <w:spacing w:val="0"/>
      <w:w w:val="100"/>
      <w:position w:val="0"/>
      <w:sz w:val="24"/>
      <w:szCs w:val="24"/>
      <w:u w:val="none"/>
      <w:lang w:val="uk-UA" w:eastAsia="uk-UA" w:bidi="uk-UA"/>
    </w:rPr>
  </w:style>
  <w:style w:type="character" w:customStyle="1" w:styleId="231">
    <w:name w:val="Body text (2)"/>
    <w:uiPriority w:val="0"/>
    <w:rPr>
      <w:rFonts w:ascii="Times New Roman" w:hAnsi="Times New Roman" w:eastAsia="Times New Roman" w:cs="Times New Roman"/>
      <w:color w:val="000000"/>
      <w:spacing w:val="0"/>
      <w:w w:val="100"/>
      <w:position w:val="0"/>
      <w:sz w:val="24"/>
      <w:szCs w:val="24"/>
      <w:u w:val="none"/>
      <w:lang w:val="uk-UA" w:eastAsia="uk-UA" w:bidi="uk-UA"/>
    </w:rPr>
  </w:style>
  <w:style w:type="paragraph" w:customStyle="1" w:styleId="232">
    <w:name w:val="Standard"/>
    <w:uiPriority w:val="0"/>
    <w:pPr>
      <w:widowControl w:val="0"/>
      <w:suppressAutoHyphens/>
      <w:autoSpaceDN w:val="0"/>
      <w:textAlignment w:val="baseline"/>
    </w:pPr>
    <w:rPr>
      <w:rFonts w:ascii="Times New Roman CYR" w:hAnsi="Times New Roman CYR" w:eastAsia="Times New Roman" w:cs="Times New Roman"/>
      <w:kern w:val="3"/>
      <w:sz w:val="24"/>
      <w:szCs w:val="24"/>
      <w:lang w:val="uk-UA" w:eastAsia="ru-RU" w:bidi="ar-SA"/>
    </w:rPr>
  </w:style>
  <w:style w:type="table" w:customStyle="1" w:styleId="233">
    <w:name w:val="Сетка таблицы1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Сетка таблицы2"/>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5">
    <w:name w:val="xfmc2"/>
    <w:basedOn w:val="1"/>
    <w:qFormat/>
    <w:uiPriority w:val="0"/>
    <w:pPr>
      <w:spacing w:before="100" w:beforeAutospacing="1" w:after="100" w:afterAutospacing="1" w:line="240" w:lineRule="auto"/>
    </w:pPr>
    <w:rPr>
      <w:rFonts w:ascii="Times New Roman" w:hAnsi="Times New Roman" w:eastAsia="Times New Roman"/>
      <w:sz w:val="24"/>
      <w:szCs w:val="24"/>
      <w:lang w:val="ru-RU" w:eastAsia="ru-RU"/>
    </w:rPr>
  </w:style>
  <w:style w:type="character" w:customStyle="1" w:styleId="236">
    <w:name w:val="Знак Знак"/>
    <w:uiPriority w:val="0"/>
    <w:rPr>
      <w:rFonts w:ascii="Courier New" w:hAnsi="Courier New" w:eastAsia="Courier New" w:cs="Courier New"/>
      <w:lang w:val="ru-RU" w:bidi="ar-SA"/>
    </w:rPr>
  </w:style>
  <w:style w:type="character" w:customStyle="1" w:styleId="237">
    <w:name w:val="Знак Знак11"/>
    <w:uiPriority w:val="0"/>
    <w:rPr>
      <w:sz w:val="24"/>
      <w:szCs w:val="24"/>
      <w:lang w:val="ru-RU" w:bidi="ar-SA"/>
    </w:rPr>
  </w:style>
  <w:style w:type="character" w:customStyle="1" w:styleId="238">
    <w:name w:val="Основной шрифт абзаца15"/>
    <w:uiPriority w:val="0"/>
  </w:style>
  <w:style w:type="character" w:customStyle="1" w:styleId="239">
    <w:name w:val="Нижній колонтитул Знак"/>
    <w:link w:val="17"/>
    <w:uiPriority w:val="0"/>
    <w:rPr>
      <w:rFonts w:ascii="Calibri" w:hAnsi="Calibri" w:eastAsia="Calibri"/>
      <w:sz w:val="22"/>
      <w:szCs w:val="22"/>
      <w:lang w:val="uk-UA" w:eastAsia="en-US"/>
    </w:rPr>
  </w:style>
  <w:style w:type="character" w:customStyle="1" w:styleId="240">
    <w:name w:val="Верхний колонтитул Знак1"/>
    <w:uiPriority w:val="0"/>
    <w:rPr>
      <w:sz w:val="24"/>
      <w:szCs w:val="24"/>
      <w:lang w:eastAsia="zh-CN"/>
    </w:rPr>
  </w:style>
  <w:style w:type="paragraph" w:customStyle="1" w:styleId="241">
    <w:name w:val="Знак Знак Знак Знак1"/>
    <w:basedOn w:val="1"/>
    <w:uiPriority w:val="0"/>
    <w:pPr>
      <w:spacing w:after="0" w:line="240" w:lineRule="auto"/>
    </w:pPr>
    <w:rPr>
      <w:rFonts w:ascii="Verdana" w:hAnsi="Verdana" w:eastAsia="Times New Roman" w:cs="Verdana"/>
      <w:sz w:val="24"/>
      <w:szCs w:val="24"/>
      <w:lang w:val="en-US" w:eastAsia="zh-CN"/>
    </w:rPr>
  </w:style>
  <w:style w:type="paragraph" w:customStyle="1" w:styleId="242">
    <w:name w:val="Знак1"/>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43">
    <w:name w:val="Знак1 Знак Знак Знак1"/>
    <w:basedOn w:val="1"/>
    <w:uiPriority w:val="0"/>
    <w:pPr>
      <w:spacing w:after="0" w:line="240" w:lineRule="auto"/>
    </w:pPr>
    <w:rPr>
      <w:rFonts w:ascii="Verdana" w:hAnsi="Verdana" w:eastAsia="Times New Roman" w:cs="Verdana"/>
      <w:sz w:val="24"/>
      <w:szCs w:val="24"/>
      <w:lang w:val="en-US" w:eastAsia="zh-CN"/>
    </w:rPr>
  </w:style>
  <w:style w:type="paragraph" w:customStyle="1" w:styleId="244">
    <w:name w:val="Знак21"/>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45">
    <w:name w:val="Знак3 Знак Знак Знак1"/>
    <w:basedOn w:val="1"/>
    <w:qFormat/>
    <w:uiPriority w:val="0"/>
    <w:pPr>
      <w:spacing w:after="0" w:line="240" w:lineRule="auto"/>
    </w:pPr>
    <w:rPr>
      <w:rFonts w:ascii="Verdana" w:hAnsi="Verdana" w:eastAsia="Times New Roman" w:cs="Verdana"/>
      <w:sz w:val="24"/>
      <w:szCs w:val="24"/>
      <w:lang w:val="en-US" w:eastAsia="zh-CN"/>
    </w:rPr>
  </w:style>
  <w:style w:type="paragraph" w:customStyle="1" w:styleId="246">
    <w:name w:val="Нумерованный список1"/>
    <w:basedOn w:val="1"/>
    <w:qFormat/>
    <w:uiPriority w:val="0"/>
    <w:pPr>
      <w:tabs>
        <w:tab w:val="left" w:pos="720"/>
      </w:tabs>
      <w:suppressAutoHyphens/>
      <w:spacing w:after="0" w:line="240" w:lineRule="auto"/>
      <w:ind w:left="720" w:hanging="720"/>
      <w:jc w:val="both"/>
    </w:pPr>
    <w:rPr>
      <w:rFonts w:ascii="Arial" w:hAnsi="Arial" w:eastAsia="Times New Roman" w:cs="Arial"/>
      <w:szCs w:val="24"/>
      <w:lang w:eastAsia="zh-CN"/>
    </w:rPr>
  </w:style>
  <w:style w:type="table" w:customStyle="1" w:styleId="247">
    <w:name w:val="Сетка таблицы3"/>
    <w:basedOn w:val="9"/>
    <w:qFormat/>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8">
    <w:name w:val="Сетка таблицы2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Сетка таблицы4"/>
    <w:basedOn w:val="9"/>
    <w:qFormat/>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0">
    <w:name w:val="Сетка таблицы12"/>
    <w:basedOn w:val="9"/>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1">
    <w:name w:val="Сетка таблицы22"/>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2">
    <w:name w:val="Сетка таблицы5"/>
    <w:basedOn w:val="9"/>
    <w:qFormat/>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
    <w:name w:val="Сетка таблицы13"/>
    <w:basedOn w:val="9"/>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
    <w:name w:val="Сетка таблицы23"/>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
    <w:name w:val="Сетка таблицы31"/>
    <w:basedOn w:val="9"/>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6">
    <w:name w:val="Сетка таблицы11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7">
    <w:name w:val="Сетка таблицы21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
    <w:name w:val="Сетка таблицы41"/>
    <w:basedOn w:val="9"/>
    <w:qFormat/>
    <w:uiPriority w:val="59"/>
    <w:pPr>
      <w:ind w:firstLine="709"/>
      <w:jc w:val="both"/>
    </w:pPr>
    <w:rPr>
      <w:rFonts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9">
    <w:name w:val="Сетка таблицы12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
    <w:name w:val="Сетка таблицы221"/>
    <w:basedOn w:val="9"/>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1">
    <w:name w:val="Основний текст 3 Знак"/>
    <w:link w:val="11"/>
    <w:uiPriority w:val="0"/>
    <w:rPr>
      <w:rFonts w:ascii="Calibri" w:hAnsi="Calibri" w:eastAsia="Calibri"/>
      <w:sz w:val="16"/>
      <w:szCs w:val="16"/>
      <w:lang w:val="uk-UA" w:eastAsia="en-US"/>
    </w:rPr>
  </w:style>
  <w:style w:type="character" w:customStyle="1" w:styleId="262">
    <w:name w:val="Текст Знак"/>
    <w:link w:val="24"/>
    <w:uiPriority w:val="99"/>
    <w:rPr>
      <w:rFonts w:ascii="Courier New" w:hAnsi="Courier New"/>
      <w:sz w:val="24"/>
      <w:lang w:val="uk-UA"/>
    </w:rPr>
  </w:style>
  <w:style w:type="paragraph" w:customStyle="1" w:styleId="263">
    <w:name w:val="Обычный1"/>
    <w:qFormat/>
    <w:uiPriority w:val="0"/>
    <w:pPr>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8EA6-D7AB-443B-AA35-88736C33D54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30839</Words>
  <Characters>17579</Characters>
  <Lines>146</Lines>
  <Paragraphs>96</Paragraphs>
  <TotalTime>7</TotalTime>
  <ScaleCrop>false</ScaleCrop>
  <LinksUpToDate>false</LinksUpToDate>
  <CharactersWithSpaces>48322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2022-09-19T15:22:00Z</dcterms:created>
  <dc:creator>1</dc:creator>
  <cp:lastModifiedBy>n.dorosh</cp:lastModifiedBy>
  <cp:lastPrinted>2021-04-28T07:22:00Z</cp:lastPrinted>
  <dcterms:modified xsi:type="dcterms:W3CDTF">2022-10-03T07:12:10Z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F5D8C179692E4928ADDF1247DF20579A</vt:lpwstr>
  </property>
</Properties>
</file>