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eastAsia="Times New Roman"/>
          <w:b/>
          <w:bCs/>
          <w:color w:val="000000"/>
          <w:sz w:val="24"/>
          <w:szCs w:val="24"/>
          <w:lang w:eastAsia="ru-RU"/>
        </w:rPr>
      </w:pPr>
      <w:r>
        <w:rPr>
          <w:rFonts w:ascii="Times New Roman" w:hAnsi="Times New Roman" w:eastAsia="Times New Roman"/>
          <w:b/>
          <w:bCs/>
          <w:color w:val="000000"/>
          <w:sz w:val="24"/>
          <w:szCs w:val="24"/>
          <w:lang w:eastAsia="ru-RU"/>
        </w:rPr>
        <w:t>Додаток 3</w:t>
      </w:r>
      <w:r>
        <w:rPr>
          <w:rFonts w:hint="default" w:ascii="Times New Roman" w:hAnsi="Times New Roman" w:eastAsia="Times New Roman" w:cs="Times New Roman"/>
          <w:spacing w:val="0"/>
          <w:sz w:val="24"/>
          <w:szCs w:val="24"/>
          <w:lang w:val="uk" w:eastAsia="zh-CN" w:bidi="ar"/>
        </w:rPr>
        <w:t>зі змінами</w:t>
      </w:r>
      <w:bookmarkStart w:id="0" w:name="_GoBack"/>
      <w:bookmarkEnd w:id="0"/>
      <w:r>
        <w:rPr>
          <w:rFonts w:ascii="Times New Roman" w:hAnsi="Times New Roman" w:eastAsia="Times New Roman"/>
          <w:b/>
          <w:bCs/>
          <w:color w:val="000000"/>
          <w:sz w:val="24"/>
          <w:szCs w:val="24"/>
          <w:lang w:eastAsia="ru-RU"/>
        </w:rPr>
        <w:t xml:space="preserve"> </w:t>
      </w:r>
    </w:p>
    <w:p>
      <w:pPr>
        <w:spacing w:after="0" w:line="240" w:lineRule="auto"/>
        <w:jc w:val="right"/>
        <w:rPr>
          <w:rFonts w:ascii="Times New Roman" w:hAnsi="Times New Roman" w:eastAsia="Times New Roman"/>
          <w:color w:val="000000"/>
          <w:sz w:val="24"/>
          <w:szCs w:val="24"/>
          <w:lang w:eastAsia="ru-RU"/>
        </w:rPr>
      </w:pPr>
      <w:r>
        <w:rPr>
          <w:rFonts w:ascii="Times New Roman" w:hAnsi="Times New Roman" w:eastAsia="Times New Roman"/>
          <w:b/>
          <w:bCs/>
          <w:color w:val="000000"/>
          <w:sz w:val="24"/>
          <w:szCs w:val="24"/>
          <w:lang w:eastAsia="ru-RU"/>
        </w:rPr>
        <w:t xml:space="preserve">до тендерної документації </w:t>
      </w:r>
    </w:p>
    <w:p>
      <w:pPr>
        <w:spacing w:after="0"/>
        <w:jc w:val="center"/>
        <w:rPr>
          <w:rFonts w:ascii="Times New Roman" w:hAnsi="Times New Roman"/>
          <w:b/>
          <w:bCs/>
          <w:sz w:val="24"/>
          <w:szCs w:val="24"/>
          <w:u w:val="single"/>
        </w:rPr>
      </w:pPr>
      <w:r>
        <w:rPr>
          <w:rFonts w:ascii="Times New Roman" w:hAnsi="Times New Roman"/>
          <w:b/>
          <w:bCs/>
          <w:sz w:val="24"/>
          <w:szCs w:val="24"/>
        </w:rPr>
        <w:t xml:space="preserve">Інформація про відповідність учасників кваліфікаційним критеріям відповідно до статті 16 Закону  </w:t>
      </w:r>
    </w:p>
    <w:tbl>
      <w:tblPr>
        <w:tblStyle w:val="3"/>
        <w:tblW w:w="9463" w:type="dxa"/>
        <w:tblInd w:w="109" w:type="dxa"/>
        <w:tblLayout w:type="fixed"/>
        <w:tblCellMar>
          <w:top w:w="0" w:type="dxa"/>
          <w:left w:w="108" w:type="dxa"/>
          <w:bottom w:w="0" w:type="dxa"/>
          <w:right w:w="108" w:type="dxa"/>
        </w:tblCellMar>
      </w:tblPr>
      <w:tblGrid>
        <w:gridCol w:w="3097"/>
        <w:gridCol w:w="6366"/>
      </w:tblGrid>
      <w:tr>
        <w:tblPrEx>
          <w:tblCellMar>
            <w:top w:w="0" w:type="dxa"/>
            <w:left w:w="108" w:type="dxa"/>
            <w:bottom w:w="0" w:type="dxa"/>
            <w:right w:w="108" w:type="dxa"/>
          </w:tblCellMar>
        </w:tblPrEx>
        <w:tc>
          <w:tcPr>
            <w:tcW w:w="3097"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jc w:val="center"/>
              <w:rPr>
                <w:rFonts w:ascii="Times New Roman" w:hAnsi="Times New Roman"/>
                <w:sz w:val="24"/>
                <w:szCs w:val="24"/>
              </w:rPr>
            </w:pPr>
            <w:r>
              <w:rPr>
                <w:rFonts w:ascii="Times New Roman" w:hAnsi="Times New Roman"/>
                <w:b/>
                <w:bCs/>
                <w:sz w:val="24"/>
                <w:szCs w:val="24"/>
              </w:rPr>
              <w:t>Кваліфікаційні критерії</w:t>
            </w:r>
          </w:p>
        </w:tc>
        <w:tc>
          <w:tcPr>
            <w:tcW w:w="6365"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jc w:val="center"/>
              <w:rPr>
                <w:rFonts w:ascii="Times New Roman" w:hAnsi="Times New Roman"/>
                <w:sz w:val="24"/>
                <w:szCs w:val="24"/>
              </w:rPr>
            </w:pPr>
            <w:r>
              <w:rPr>
                <w:rFonts w:ascii="Times New Roman" w:hAnsi="Times New Roman"/>
                <w:b/>
                <w:bCs/>
                <w:sz w:val="24"/>
                <w:szCs w:val="24"/>
              </w:rPr>
              <w:t>Документи, які повинен подати учасник для підтвердження відповідності кваліфікаційним критеріям</w:t>
            </w:r>
          </w:p>
        </w:tc>
      </w:tr>
      <w:tr>
        <w:tblPrEx>
          <w:tblCellMar>
            <w:top w:w="0" w:type="dxa"/>
            <w:left w:w="108" w:type="dxa"/>
            <w:bottom w:w="0" w:type="dxa"/>
            <w:right w:w="108" w:type="dxa"/>
          </w:tblCellMar>
        </w:tblPrEx>
        <w:tc>
          <w:tcPr>
            <w:tcW w:w="3097"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rPr>
                <w:rFonts w:ascii="Times New Roman" w:hAnsi="Times New Roman"/>
                <w:sz w:val="24"/>
                <w:szCs w:val="24"/>
              </w:rPr>
            </w:pPr>
            <w:r>
              <w:rPr>
                <w:rFonts w:ascii="Times New Roman" w:hAnsi="Times New Roman"/>
                <w:sz w:val="24"/>
                <w:szCs w:val="24"/>
              </w:rPr>
              <w:t>1. Наявність обладнання та матеріально-технічної бази у учасника</w:t>
            </w:r>
          </w:p>
        </w:tc>
        <w:tc>
          <w:tcPr>
            <w:tcW w:w="6365"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ind w:right="23"/>
              <w:jc w:val="both"/>
              <w:rPr>
                <w:rFonts w:ascii="Times New Roman" w:hAnsi="Times New Roman"/>
                <w:sz w:val="24"/>
                <w:szCs w:val="24"/>
              </w:rPr>
            </w:pPr>
            <w:r>
              <w:rPr>
                <w:rFonts w:ascii="Times New Roman" w:hAnsi="Times New Roman"/>
                <w:sz w:val="24"/>
                <w:szCs w:val="24"/>
              </w:rPr>
              <w:t>1.1. Д</w:t>
            </w:r>
            <w:r>
              <w:rPr>
                <w:rFonts w:ascii="Times New Roman" w:hAnsi="Times New Roman" w:eastAsia="Times New Roman"/>
                <w:bCs/>
                <w:sz w:val="24"/>
                <w:szCs w:val="24"/>
                <w:lang w:eastAsia="zh-CN"/>
              </w:rPr>
              <w:t>овідка у довільній формі про наявність обладнання</w:t>
            </w:r>
            <w:r>
              <w:rPr>
                <w:rFonts w:ascii="Times New Roman" w:hAnsi="Times New Roman" w:eastAsia="Times New Roman"/>
                <w:bCs/>
                <w:sz w:val="24"/>
                <w:szCs w:val="24"/>
                <w:lang w:val="ru-RU" w:eastAsia="zh-CN"/>
              </w:rPr>
              <w:t xml:space="preserve">, </w:t>
            </w:r>
            <w:r>
              <w:rPr>
                <w:rFonts w:ascii="Times New Roman" w:hAnsi="Times New Roman" w:eastAsia="Times New Roman"/>
                <w:bCs/>
                <w:sz w:val="24"/>
                <w:szCs w:val="24"/>
                <w:lang w:eastAsia="zh-CN"/>
              </w:rPr>
              <w:t>матеріально-технічної баз</w:t>
            </w:r>
            <w:r>
              <w:rPr>
                <w:rFonts w:ascii="Times New Roman" w:hAnsi="Times New Roman" w:eastAsia="Times New Roman"/>
                <w:bCs/>
                <w:sz w:val="24"/>
                <w:szCs w:val="24"/>
                <w:lang w:val="ru-RU" w:eastAsia="zh-CN"/>
              </w:rPr>
              <w:t>и</w:t>
            </w:r>
            <w:r>
              <w:rPr>
                <w:rFonts w:ascii="Times New Roman" w:hAnsi="Times New Roman" w:eastAsia="Times New Roman"/>
                <w:bCs/>
                <w:sz w:val="24"/>
                <w:szCs w:val="24"/>
                <w:lang w:eastAsia="zh-CN"/>
              </w:rPr>
              <w:t xml:space="preserve"> та </w:t>
            </w:r>
            <w:r>
              <w:rPr>
                <w:rFonts w:ascii="Times New Roman" w:hAnsi="Times New Roman" w:eastAsia="Times New Roman"/>
                <w:bCs/>
                <w:sz w:val="24"/>
                <w:szCs w:val="24"/>
                <w:lang w:val="ru-RU" w:eastAsia="zh-CN"/>
              </w:rPr>
              <w:t>технолог</w:t>
            </w:r>
            <w:r>
              <w:rPr>
                <w:rFonts w:ascii="Times New Roman" w:hAnsi="Times New Roman" w:eastAsia="Times New Roman"/>
                <w:bCs/>
                <w:sz w:val="24"/>
                <w:szCs w:val="24"/>
                <w:lang w:eastAsia="zh-CN"/>
              </w:rPr>
              <w:t>і</w:t>
            </w:r>
            <w:r>
              <w:rPr>
                <w:rFonts w:ascii="Times New Roman" w:hAnsi="Times New Roman" w:eastAsia="Times New Roman"/>
                <w:bCs/>
                <w:sz w:val="24"/>
                <w:szCs w:val="24"/>
                <w:lang w:val="ru-RU" w:eastAsia="zh-CN"/>
              </w:rPr>
              <w:t xml:space="preserve">й </w:t>
            </w:r>
            <w:r>
              <w:rPr>
                <w:rFonts w:ascii="Times New Roman" w:hAnsi="Times New Roman" w:eastAsia="Times New Roman"/>
                <w:bCs/>
                <w:sz w:val="24"/>
                <w:szCs w:val="24"/>
                <w:lang w:eastAsia="zh-CN"/>
              </w:rPr>
              <w:t>для здійснення постачання запропонованого товару</w:t>
            </w:r>
            <w:r>
              <w:rPr>
                <w:rFonts w:ascii="Times New Roman" w:hAnsi="Times New Roman" w:eastAsia="Times New Roman"/>
                <w:sz w:val="24"/>
                <w:szCs w:val="24"/>
                <w:lang w:eastAsia="zh-CN"/>
              </w:rPr>
              <w:t xml:space="preserve">, з зазначенням наявності власного(их)/орендованого(их) складського(их) приміщення(ь) для зберігання запропонованого товару, власного (орендованого) транспорту для поставки товару Замовнику  </w:t>
            </w:r>
            <w:r>
              <w:rPr>
                <w:rFonts w:ascii="Times New Roman" w:hAnsi="Times New Roman"/>
                <w:sz w:val="24"/>
                <w:szCs w:val="24"/>
              </w:rPr>
              <w:t>та обладнання , необхідного для виконання договору постачання - мебель, оргтехніка, з підтверджуючими документами на власність (видаткові накладні або договір аренди з актом при’ому передачі та видатковими накладними власника)  .</w:t>
            </w:r>
            <w:r>
              <w:rPr>
                <w:rFonts w:ascii="Times New Roman" w:hAnsi="Times New Roman" w:eastAsia="Times New Roman"/>
                <w:sz w:val="24"/>
                <w:szCs w:val="24"/>
                <w:lang w:eastAsia="zh-CN"/>
              </w:rPr>
              <w:t xml:space="preserve"> Для підтвердження наявності</w:t>
            </w:r>
            <w:r>
              <w:rPr>
                <w:rFonts w:ascii="Times New Roman" w:hAnsi="Times New Roman" w:eastAsia="Times New Roman"/>
                <w:sz w:val="24"/>
                <w:szCs w:val="24"/>
                <w:lang w:val="ru-RU" w:eastAsia="zh-CN"/>
              </w:rPr>
              <w:t xml:space="preserve"> </w:t>
            </w:r>
            <w:r>
              <w:rPr>
                <w:rFonts w:ascii="Times New Roman" w:hAnsi="Times New Roman" w:eastAsia="Times New Roman"/>
                <w:sz w:val="24"/>
                <w:szCs w:val="24"/>
                <w:lang w:eastAsia="zh-CN"/>
              </w:rPr>
              <w:t xml:space="preserve">власного(их)/орендованого(их) складського(их) приміщення(ь) учасником необхідно надати копію витягу з Державного реєстру речових прав на нерухоме майно про реєстрацію права власності, або копію договору </w:t>
            </w:r>
            <w:r>
              <w:rPr>
                <w:rFonts w:ascii="Times New Roman" w:hAnsi="Times New Roman"/>
                <w:sz w:val="24"/>
                <w:szCs w:val="24"/>
              </w:rPr>
              <w:t>оренди (із зазначенням терміну оренди (початок-кінець) з копіями документів, що підтверджують право власності Орендаря на указані приміщення ( витяг з Державного реєстру речових прав на нерухоме майно про реєстрацію права власності або свідоцтво про право власності на нерухоме майно).</w:t>
            </w:r>
            <w:r>
              <w:rPr>
                <w:rFonts w:ascii="Times New Roman" w:hAnsi="Times New Roman" w:eastAsia="Times New Roman"/>
                <w:sz w:val="24"/>
                <w:szCs w:val="24"/>
                <w:lang w:val="ru-RU" w:eastAsia="zh-CN"/>
              </w:rPr>
              <w:t xml:space="preserve"> </w:t>
            </w:r>
            <w:r>
              <w:rPr>
                <w:rFonts w:ascii="Times New Roman" w:hAnsi="Times New Roman" w:eastAsia="Times New Roman"/>
                <w:sz w:val="24"/>
                <w:szCs w:val="24"/>
                <w:lang w:eastAsia="zh-CN"/>
              </w:rPr>
              <w:t>Для підтвердження наявності власного/орендованого транспорту Учаснику необхідно надати копії документів, які підтверджують права власності на неї (</w:t>
            </w:r>
            <w:r>
              <w:rPr>
                <w:rFonts w:ascii="Times New Roman" w:hAnsi="Times New Roman"/>
                <w:sz w:val="24"/>
                <w:szCs w:val="24"/>
              </w:rPr>
              <w:t>копія свідоцтва про реєстрацію транспортного засобу)</w:t>
            </w:r>
            <w:r>
              <w:rPr>
                <w:rFonts w:ascii="Times New Roman" w:hAnsi="Times New Roman" w:eastAsia="Times New Roman"/>
                <w:sz w:val="24"/>
                <w:szCs w:val="24"/>
                <w:lang w:eastAsia="zh-CN"/>
              </w:rPr>
              <w:t xml:space="preserve">. В разі використання орендованої техніки – надати копію договору оренди або договору по наданню послуг із зазначенням терміну </w:t>
            </w:r>
            <w:r>
              <w:rPr>
                <w:rFonts w:ascii="Times New Roman" w:hAnsi="Times New Roman"/>
                <w:sz w:val="24"/>
                <w:szCs w:val="24"/>
              </w:rPr>
              <w:t xml:space="preserve">дії договору </w:t>
            </w:r>
            <w:r>
              <w:rPr>
                <w:rFonts w:ascii="Times New Roman" w:hAnsi="Times New Roman" w:eastAsia="Times New Roman"/>
                <w:sz w:val="24"/>
                <w:szCs w:val="24"/>
                <w:lang w:eastAsia="zh-CN"/>
              </w:rPr>
              <w:t xml:space="preserve">(початок-кінець), </w:t>
            </w:r>
            <w:r>
              <w:rPr>
                <w:rFonts w:ascii="Times New Roman" w:hAnsi="Times New Roman"/>
                <w:sz w:val="24"/>
                <w:szCs w:val="24"/>
              </w:rPr>
              <w:t xml:space="preserve">інформацію </w:t>
            </w:r>
            <w:r>
              <w:rPr>
                <w:rFonts w:ascii="Times New Roman" w:hAnsi="Times New Roman" w:eastAsia="Times New Roman"/>
                <w:sz w:val="24"/>
                <w:szCs w:val="24"/>
                <w:lang w:eastAsia="zh-CN"/>
              </w:rPr>
              <w:t xml:space="preserve"> останнього технічного огляду технічного засобу </w:t>
            </w:r>
            <w:r>
              <w:rPr>
                <w:rFonts w:ascii="Times New Roman" w:hAnsi="Times New Roman"/>
                <w:sz w:val="24"/>
                <w:szCs w:val="24"/>
              </w:rPr>
              <w:t>(надати копію протокола перевірки технічного стану)</w:t>
            </w:r>
            <w:r>
              <w:rPr>
                <w:rFonts w:ascii="Times New Roman" w:hAnsi="Times New Roman" w:eastAsia="Times New Roman"/>
                <w:sz w:val="24"/>
                <w:szCs w:val="24"/>
                <w:lang w:eastAsia="zh-CN"/>
              </w:rPr>
              <w:t xml:space="preserve"> , переліку орендованої техніки,  та надати копії документів, що підтверджують права власності орендодавця на зазначену техніку </w:t>
            </w:r>
            <w:r>
              <w:rPr>
                <w:rFonts w:ascii="Times New Roman" w:hAnsi="Times New Roman"/>
                <w:sz w:val="24"/>
                <w:szCs w:val="24"/>
              </w:rPr>
              <w:t>(копію свідоцтва про реєстрацію транспортного засобу).</w:t>
            </w:r>
          </w:p>
        </w:tc>
      </w:tr>
      <w:tr>
        <w:tblPrEx>
          <w:tblCellMar>
            <w:top w:w="0" w:type="dxa"/>
            <w:left w:w="108" w:type="dxa"/>
            <w:bottom w:w="0" w:type="dxa"/>
            <w:right w:w="108" w:type="dxa"/>
          </w:tblCellMar>
        </w:tblPrEx>
        <w:tc>
          <w:tcPr>
            <w:tcW w:w="3097"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rPr>
                <w:rFonts w:ascii="Times New Roman" w:hAnsi="Times New Roman"/>
                <w:sz w:val="24"/>
                <w:szCs w:val="24"/>
              </w:rPr>
            </w:pPr>
            <w:r>
              <w:rPr>
                <w:rFonts w:ascii="Times New Roman" w:hAnsi="Times New Roman"/>
                <w:sz w:val="24"/>
                <w:szCs w:val="24"/>
              </w:rPr>
              <w:t>2. Наявність документально підтвердженого досвіду виконання аналогічного договору</w:t>
            </w:r>
          </w:p>
        </w:tc>
        <w:tc>
          <w:tcPr>
            <w:tcW w:w="6365"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ind w:firstLine="56"/>
              <w:jc w:val="both"/>
              <w:rPr>
                <w:rFonts w:ascii="Times New Roman" w:hAnsi="Times New Roman"/>
                <w:sz w:val="24"/>
                <w:szCs w:val="24"/>
              </w:rPr>
            </w:pPr>
            <w:r>
              <w:rPr>
                <w:rFonts w:ascii="Times New Roman" w:hAnsi="Times New Roman"/>
                <w:sz w:val="24"/>
                <w:szCs w:val="24"/>
              </w:rPr>
              <w:t xml:space="preserve">2.1. Довідка в довільній формі про наявність документально підтвердженого досвіду виконання аналогічного договору (аналогічних договорів) із зазначенням покупця, номеру та дати договорів скріплена підписом керівника або уповноваженої особи та печаткою Учасника. На підтвердження виконання аналогічних договорів учасником надаються скановані оригінал( копія) виконаного договору або договорів, які виконанні </w:t>
            </w:r>
            <w:r>
              <w:rPr>
                <w:rFonts w:ascii="Times New Roman" w:hAnsi="Times New Roman"/>
                <w:sz w:val="24"/>
                <w:szCs w:val="24"/>
                <w:shd w:val="clear" w:color="auto" w:fill="FFFFFF"/>
              </w:rPr>
              <w:t xml:space="preserve">2021 -2022 рр. (не менше одного) та лист-відгук </w:t>
            </w:r>
            <w:r>
              <w:rPr>
                <w:rFonts w:ascii="Times New Roman" w:hAnsi="Times New Roman"/>
                <w:sz w:val="24"/>
                <w:szCs w:val="24"/>
              </w:rPr>
              <w:t xml:space="preserve"> від замовника(ів/покупців), виданий поточним роком,</w:t>
            </w:r>
            <w:r>
              <w:rPr>
                <w:rFonts w:ascii="Times New Roman" w:hAnsi="Times New Roman"/>
                <w:sz w:val="24"/>
                <w:szCs w:val="24"/>
                <w:lang w:val="ru-RU"/>
              </w:rPr>
              <w:t xml:space="preserve"> разом з копіями видаткових накладних, які підтверджують факт повного виконання зазначеного договору. </w:t>
            </w:r>
            <w:r>
              <w:rPr>
                <w:rFonts w:ascii="Times New Roman" w:hAnsi="Times New Roman"/>
                <w:sz w:val="24"/>
                <w:szCs w:val="24"/>
              </w:rPr>
              <w:t xml:space="preserve">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 Аналогічним договором є договір на постачання товару за предметом закупівлі (із зазначенням в договорі відповідних найменувань товарів та/або коду ДК закупівлі (предмет закупівлі визначається за четвертим знаком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Якщо аналогічні договори є оприлюдненими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Prozorro та скановані копії вказаних договорів можуть не надаватися. </w:t>
            </w:r>
          </w:p>
        </w:tc>
      </w:tr>
      <w:tr>
        <w:tblPrEx>
          <w:tblCellMar>
            <w:top w:w="0" w:type="dxa"/>
            <w:left w:w="108" w:type="dxa"/>
            <w:bottom w:w="0" w:type="dxa"/>
            <w:right w:w="108" w:type="dxa"/>
          </w:tblCellMar>
        </w:tblPrEx>
        <w:trPr>
          <w:trHeight w:val="406" w:hRule="atLeast"/>
        </w:trPr>
        <w:tc>
          <w:tcPr>
            <w:tcW w:w="3097"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rPr>
                <w:rFonts w:ascii="Times New Roman" w:hAnsi="Times New Roman"/>
                <w:sz w:val="24"/>
                <w:szCs w:val="24"/>
              </w:rPr>
            </w:pPr>
            <w:r>
              <w:rPr>
                <w:rFonts w:ascii="Times New Roman" w:hAnsi="Times New Roman"/>
                <w:sz w:val="24"/>
                <w:szCs w:val="24"/>
              </w:rPr>
              <w:t>3. Наявність працівників відповідної кваліфікації, які мають необхідні знання та досвід у учасника</w:t>
            </w:r>
          </w:p>
        </w:tc>
        <w:tc>
          <w:tcPr>
            <w:tcW w:w="6365"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3.1. Довідка у довільній формі, що містить інформацію про наявність у учасника працівників із зазначенням: ПІБ, найменування посади, освіти, спеціальності та стажу роботи (роки або місяці або дні). </w:t>
            </w:r>
          </w:p>
        </w:tc>
      </w:tr>
      <w:tr>
        <w:tblPrEx>
          <w:tblCellMar>
            <w:top w:w="0" w:type="dxa"/>
            <w:left w:w="108" w:type="dxa"/>
            <w:bottom w:w="0" w:type="dxa"/>
            <w:right w:w="108" w:type="dxa"/>
          </w:tblCellMar>
        </w:tblPrEx>
        <w:tc>
          <w:tcPr>
            <w:tcW w:w="3097"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rPr>
                <w:rFonts w:ascii="Times New Roman" w:hAnsi="Times New Roman"/>
                <w:sz w:val="24"/>
                <w:szCs w:val="24"/>
              </w:rPr>
            </w:pPr>
            <w:r>
              <w:rPr>
                <w:rFonts w:ascii="Times New Roman" w:hAnsi="Times New Roman"/>
                <w:sz w:val="24"/>
                <w:szCs w:val="24"/>
              </w:rPr>
              <w:t>4. Наявність фінансової спроможності, яка підтверджується фінансовою звітністю</w:t>
            </w:r>
          </w:p>
        </w:tc>
        <w:tc>
          <w:tcPr>
            <w:tcW w:w="6365" w:type="dxa"/>
            <w:tcBorders>
              <w:top w:val="single" w:color="000000" w:sz="8" w:space="0"/>
              <w:left w:val="single" w:color="000000" w:sz="8" w:space="0"/>
              <w:bottom w:val="single" w:color="000000" w:sz="8" w:space="0"/>
              <w:right w:val="single" w:color="000000" w:sz="8" w:space="0"/>
            </w:tcBorders>
          </w:tcPr>
          <w:p>
            <w:pPr>
              <w:widowControl w:val="0"/>
              <w:spacing w:after="0" w:line="240" w:lineRule="auto"/>
              <w:jc w:val="both"/>
              <w:rPr>
                <w:rFonts w:ascii="Times New Roman" w:hAnsi="Times New Roman"/>
                <w:sz w:val="24"/>
                <w:szCs w:val="24"/>
              </w:rPr>
            </w:pPr>
            <w:r>
              <w:rPr>
                <w:rFonts w:ascii="Times New Roman" w:hAnsi="Times New Roman"/>
                <w:sz w:val="24"/>
                <w:szCs w:val="24"/>
              </w:rPr>
              <w:t>4.1. Копія «Балансу» та копія «Звіту про фінансові результати» (для юридичних осіб) або «Фінансового звіту суб’єкта малого підприємництва» (для суб’єктів підприємницької діяльності – фізичних осіб та юридичних осіб – суб’єктів малого підприємництва) за останній звітний період</w:t>
            </w:r>
            <w:r>
              <w:rPr>
                <w:rFonts w:ascii="Times New Roman" w:hAnsi="Times New Roman"/>
                <w:sz w:val="24"/>
                <w:szCs w:val="24"/>
                <w:shd w:val="clear" w:color="auto" w:fill="FFFFFF"/>
              </w:rPr>
              <w:t xml:space="preserve"> учасника у 2021 році.</w:t>
            </w:r>
          </w:p>
          <w:p>
            <w:pPr>
              <w:widowControl w:val="0"/>
              <w:spacing w:after="0" w:line="240" w:lineRule="auto"/>
              <w:jc w:val="both"/>
              <w:rPr>
                <w:rFonts w:ascii="Times New Roman" w:hAnsi="Times New Roman"/>
                <w:sz w:val="24"/>
                <w:szCs w:val="24"/>
              </w:rPr>
            </w:pPr>
            <w:r>
              <w:rPr>
                <w:rFonts w:ascii="Times New Roman" w:hAnsi="Times New Roman"/>
                <w:sz w:val="24"/>
                <w:szCs w:val="24"/>
              </w:rPr>
              <w:t>Фінансова спроможність учасника закупівлі: дохід за останній звітний період повинен складати не менше 100 %  від очікуваної вартості предмета закупівлі.</w:t>
            </w:r>
          </w:p>
        </w:tc>
      </w:tr>
    </w:tbl>
    <w:p>
      <w:pPr>
        <w:spacing w:after="0"/>
        <w:jc w:val="both"/>
        <w:rPr>
          <w:rFonts w:ascii="Times New Roman" w:hAnsi="Times New Roman"/>
          <w:sz w:val="24"/>
          <w:szCs w:val="24"/>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pPr>
        <w:spacing w:after="0" w:line="240" w:lineRule="auto"/>
        <w:jc w:val="center"/>
        <w:rPr>
          <w:rFonts w:ascii="Times New Roman" w:hAnsi="Times New Roman" w:eastAsia="Times New Roman"/>
          <w:b/>
          <w:bCs/>
          <w:spacing w:val="4"/>
          <w:sz w:val="24"/>
          <w:szCs w:val="24"/>
          <w:lang w:eastAsia="ru-RU"/>
        </w:rPr>
      </w:pPr>
    </w:p>
    <w:p/>
    <w:sectPr>
      <w:pgSz w:w="11906" w:h="16838"/>
      <w:pgMar w:top="1134" w:right="850" w:bottom="1134" w:left="1701"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ans">
    <w:altName w:val="Arial"/>
    <w:panose1 w:val="00000000000000000000"/>
    <w:charset w:val="01"/>
    <w:family w:val="roman"/>
    <w:pitch w:val="default"/>
    <w:sig w:usb0="00000000" w:usb1="00000000" w:usb2="00000000" w:usb3="00000000" w:csb0="00000000" w:csb1="00000000"/>
  </w:font>
  <w:font w:name="Noto Sans CJK SC">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Devanagari">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708"/>
  <w:autoHyphenation/>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8D"/>
    <w:rsid w:val="000659CE"/>
    <w:rsid w:val="00160785"/>
    <w:rsid w:val="00167ECB"/>
    <w:rsid w:val="001E7C77"/>
    <w:rsid w:val="00237D79"/>
    <w:rsid w:val="002E24A8"/>
    <w:rsid w:val="00365926"/>
    <w:rsid w:val="003937C7"/>
    <w:rsid w:val="00433A7C"/>
    <w:rsid w:val="004642ED"/>
    <w:rsid w:val="004675BF"/>
    <w:rsid w:val="006D197E"/>
    <w:rsid w:val="007458E5"/>
    <w:rsid w:val="007D57D7"/>
    <w:rsid w:val="00830A14"/>
    <w:rsid w:val="008C0179"/>
    <w:rsid w:val="008C474A"/>
    <w:rsid w:val="008F138E"/>
    <w:rsid w:val="00AA351B"/>
    <w:rsid w:val="00AB042F"/>
    <w:rsid w:val="00AE33EE"/>
    <w:rsid w:val="00AF7764"/>
    <w:rsid w:val="00B30A5D"/>
    <w:rsid w:val="00B35D8D"/>
    <w:rsid w:val="00B374C6"/>
    <w:rsid w:val="00BB2F5B"/>
    <w:rsid w:val="00C372C5"/>
    <w:rsid w:val="00D00126"/>
    <w:rsid w:val="00D02980"/>
    <w:rsid w:val="00D24195"/>
    <w:rsid w:val="00EC69A3"/>
    <w:rsid w:val="00F75F12"/>
    <w:rsid w:val="00F76A02"/>
    <w:rsid w:val="00FE7615"/>
    <w:rsid w:val="3E2948B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cs="Times New Roman" w:asciiTheme="minorHAnsi" w:hAnsiTheme="minorHAnsi" w:eastAsiaTheme="minorHAns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spacing w:after="140"/>
    </w:pPr>
  </w:style>
  <w:style w:type="paragraph" w:styleId="5">
    <w:name w:val="List"/>
    <w:basedOn w:val="4"/>
    <w:uiPriority w:val="0"/>
    <w:rPr>
      <w:rFonts w:cs="Lohit Devanagari"/>
    </w:rPr>
  </w:style>
  <w:style w:type="paragraph" w:customStyle="1" w:styleId="6">
    <w:name w:val="Заголовок1"/>
    <w:basedOn w:val="1"/>
    <w:next w:val="4"/>
    <w:qFormat/>
    <w:uiPriority w:val="0"/>
    <w:pPr>
      <w:keepNext/>
      <w:spacing w:before="240" w:after="120"/>
    </w:pPr>
    <w:rPr>
      <w:rFonts w:ascii="Liberation Sans" w:hAnsi="Liberation Sans" w:eastAsia="Noto Sans CJK SC" w:cs="Lohit Devanagari"/>
      <w:sz w:val="28"/>
      <w:szCs w:val="28"/>
    </w:rPr>
  </w:style>
  <w:style w:type="paragraph" w:customStyle="1" w:styleId="7">
    <w:name w:val="Название объекта1"/>
    <w:basedOn w:val="1"/>
    <w:qFormat/>
    <w:uiPriority w:val="0"/>
    <w:pPr>
      <w:suppressLineNumbers/>
      <w:spacing w:before="120" w:after="120"/>
    </w:pPr>
    <w:rPr>
      <w:rFonts w:cs="Lohit Devanagari"/>
      <w:i/>
      <w:iCs/>
      <w:sz w:val="24"/>
      <w:szCs w:val="24"/>
    </w:rPr>
  </w:style>
  <w:style w:type="paragraph" w:customStyle="1" w:styleId="8">
    <w:name w:val="Указатель1"/>
    <w:basedOn w:val="1"/>
    <w:qFormat/>
    <w:uiPriority w:val="0"/>
    <w:pPr>
      <w:suppressLineNumbers/>
    </w:pPr>
    <w:rPr>
      <w:rFonts w:cs="Lohit Devanagari"/>
    </w:rPr>
  </w:style>
  <w:style w:type="table" w:customStyle="1" w:styleId="9">
    <w:name w:val="Звичайна таблиця"/>
    <w:semiHidden/>
    <w:uiPriority w:val="0"/>
    <w:pPr>
      <w:keepNext w:val="0"/>
      <w:keepLines w:val="0"/>
      <w:widowControl/>
      <w:suppressLineNumbers w:val="0"/>
      <w:spacing w:before="0" w:beforeAutospacing="0" w:after="0" w:afterAutospacing="0"/>
      <w:ind w:left="0" w:right="0"/>
    </w:pPr>
    <w:rPr>
      <w:rFonts w:ascii="Calibri" w:hAnsi="Calibri" w:eastAsia="SimSun"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diakov.net</Company>
  <Pages>1</Pages>
  <Words>2869</Words>
  <Characters>1636</Characters>
  <Lines>13</Lines>
  <Paragraphs>8</Paragraphs>
  <TotalTime>1</TotalTime>
  <ScaleCrop>false</ScaleCrop>
  <LinksUpToDate>false</LinksUpToDate>
  <CharactersWithSpaces>4497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2022-09-19T15:13:00Z</dcterms:created>
  <dc:creator>RePack by Diakov</dc:creator>
  <cp:lastModifiedBy>n.dorosh</cp:lastModifiedBy>
  <dcterms:modified xsi:type="dcterms:W3CDTF">2022-10-03T07:02:02Z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1033-11.2.0.11341</vt:lpwstr>
  </property>
  <property fmtid="{D5CDD505-2E9C-101B-9397-08002B2CF9AE}" pid="10" name="ICV">
    <vt:lpwstr>725DE08F7DC6485E8D6B8307BE92A2BF</vt:lpwstr>
  </property>
</Properties>
</file>