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567"/>
        <w:gridCol w:w="5386"/>
        <w:gridCol w:w="1418"/>
        <w:gridCol w:w="1418"/>
        <w:gridCol w:w="948"/>
        <w:gridCol w:w="413"/>
        <w:gridCol w:w="59"/>
      </w:tblGrid>
      <w:tr w:rsidR="00B629CD" w:rsidRPr="002D7AF8" w:rsidTr="006C2775">
        <w:trPr>
          <w:gridAfter w:val="2"/>
          <w:wAfter w:w="472" w:type="dxa"/>
          <w:trHeight w:val="709"/>
          <w:jc w:val="center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9CD" w:rsidRPr="002D7AF8" w:rsidRDefault="00805F25" w:rsidP="00CB00FE">
            <w:pPr>
              <w:keepLines/>
              <w:autoSpaceDE w:val="0"/>
              <w:jc w:val="right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 xml:space="preserve">Додаток 3 </w:t>
            </w:r>
          </w:p>
          <w:p w:rsidR="00B629CD" w:rsidRPr="002D7AF8" w:rsidRDefault="00B629CD" w:rsidP="00CB00FE">
            <w:pPr>
              <w:keepLines/>
              <w:autoSpaceDE w:val="0"/>
              <w:jc w:val="center"/>
              <w:rPr>
                <w:b/>
                <w:bCs/>
                <w:szCs w:val="24"/>
                <w:lang w:val="uk-UA"/>
              </w:rPr>
            </w:pPr>
            <w:r w:rsidRPr="002D7AF8">
              <w:rPr>
                <w:b/>
                <w:bCs/>
                <w:szCs w:val="24"/>
                <w:lang w:val="uk-UA"/>
              </w:rPr>
              <w:t>ТЕХНІЧНЕ ЗАВДАННЯ</w:t>
            </w:r>
          </w:p>
          <w:p w:rsidR="00B629CD" w:rsidRPr="002D7AF8" w:rsidRDefault="00B629CD" w:rsidP="00CB00FE">
            <w:pPr>
              <w:keepLines/>
              <w:autoSpaceDE w:val="0"/>
              <w:jc w:val="both"/>
              <w:rPr>
                <w:szCs w:val="24"/>
                <w:lang w:val="uk-UA"/>
              </w:rPr>
            </w:pPr>
          </w:p>
        </w:tc>
      </w:tr>
      <w:tr w:rsidR="00B629CD" w:rsidRPr="002D7AF8" w:rsidTr="00CB00FE">
        <w:trPr>
          <w:gridAfter w:val="2"/>
          <w:wAfter w:w="472" w:type="dxa"/>
          <w:jc w:val="center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9CD" w:rsidRPr="002D7AF8" w:rsidRDefault="00B629CD" w:rsidP="00CB00FE">
            <w:pPr>
              <w:pStyle w:val="2"/>
              <w:spacing w:after="120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2D7AF8">
              <w:rPr>
                <w:sz w:val="24"/>
                <w:szCs w:val="24"/>
                <w:lang w:val="uk-UA"/>
              </w:rPr>
              <w:t>1. Розрахунок вартості пропозиції по об’єкту «Поточний ремонт по встановленню дверних блоків в приміщенні за адресою: м.Львів, пл. Галицька, 15, для здійснення заходів з надання підтримки внутрішньо переміщеним та/або евакуйованим особам» виконати у відповідності з кошторисними нормами України «Настанова з визначення вартості будівництва», затвердженими  наказом Мінрегіону від 01.11.2021  № 281 (зі зміною № 2, затвердженою Наказом Міністерства розвитку громад та територій України 01 грудня 2022 року № 244).</w:t>
            </w:r>
          </w:p>
          <w:p w:rsidR="00B629CD" w:rsidRPr="002D7AF8" w:rsidRDefault="00B629CD" w:rsidP="00CB00FE">
            <w:pPr>
              <w:spacing w:before="120"/>
              <w:ind w:left="541" w:hanging="541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2. Учасник-переможець несе повну відповідальність за наявність/одержання всіх необхідних документів дозвільного характеру на надання певного виду послуг, згідно з договором про закупівлю, якщо наявність цих документів передбачена законодавством.</w:t>
            </w:r>
          </w:p>
          <w:p w:rsidR="00B629CD" w:rsidRPr="002D7AF8" w:rsidRDefault="00B629CD" w:rsidP="00CB00FE">
            <w:pPr>
              <w:spacing w:before="120"/>
              <w:ind w:left="541" w:hanging="541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3. Розрахунок твердої договірної ціни та</w:t>
            </w:r>
            <w:bookmarkStart w:id="0" w:name="_GoBack"/>
            <w:bookmarkEnd w:id="0"/>
            <w:r w:rsidRPr="002D7AF8">
              <w:rPr>
                <w:szCs w:val="24"/>
                <w:lang w:val="uk-UA"/>
              </w:rPr>
              <w:t xml:space="preserve"> кошторис виконати у відповідності з кошторисними нормами України «Настанова з визначення вартості будівництва» затвердженими наказом Мінрегіону від 01.11.2021 № 281 та іншими нормативними документами у сфері ціноутворення у будівництві на підставі нормативної потреби в трудових і матеріально-технічних ресурсах, необхідних для здійснення проектних рішень по об’єкту будівництва, та поточних цін на них.</w:t>
            </w:r>
          </w:p>
          <w:p w:rsidR="00B629CD" w:rsidRPr="002D7AF8" w:rsidRDefault="00B629CD" w:rsidP="00CB00FE">
            <w:pPr>
              <w:spacing w:before="120"/>
              <w:ind w:left="541" w:hanging="541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4. У кошторисній документації чітко вказати найменування, технічні характеристики, тип, марку матеріальних ресурсів. Учасник визначає вартість послуг, які він пропонує надати за Договором, згідно «Настанови з визначення вартості будівництва» зі змінами і доповненнями та відомчими нормами, з урахуванням тих видів послуг, які він пропонує надати за Договором, з урахуванням усіх своїх витрат, податків і зборів, що сплачуються або мають бути сплачені, вартості матеріалів, інших витрат.</w:t>
            </w:r>
          </w:p>
          <w:p w:rsidR="00B629CD" w:rsidRPr="002D7AF8" w:rsidRDefault="00B629CD" w:rsidP="00CB00FE">
            <w:pPr>
              <w:spacing w:before="120"/>
              <w:ind w:left="541" w:hanging="541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 xml:space="preserve">5. До розрахунку ціни пропозиції входять усі види послуг. Не врахована Учасником вартість окремих видів послуг не сплачується Замовником окремо, а витрати на їх надання вважаються врахованими у загальній ціні його пропозиції. </w:t>
            </w:r>
          </w:p>
          <w:p w:rsidR="00B629CD" w:rsidRPr="002D7AF8" w:rsidRDefault="00B629CD" w:rsidP="00CB00FE">
            <w:pPr>
              <w:spacing w:before="120"/>
              <w:ind w:left="541" w:hanging="541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 xml:space="preserve">6. </w:t>
            </w:r>
            <w:r w:rsidR="006C2775" w:rsidRPr="002D7AF8">
              <w:rPr>
                <w:szCs w:val="24"/>
                <w:lang w:val="uk-UA"/>
              </w:rPr>
              <w:t xml:space="preserve">У складі пропозиції учасник </w:t>
            </w:r>
            <w:r w:rsidR="00DC09D9" w:rsidRPr="002D7AF8">
              <w:rPr>
                <w:szCs w:val="24"/>
                <w:lang w:val="uk-UA"/>
              </w:rPr>
              <w:t xml:space="preserve">надає </w:t>
            </w:r>
            <w:r w:rsidR="006C2775" w:rsidRPr="002D7AF8">
              <w:rPr>
                <w:szCs w:val="24"/>
                <w:lang w:val="uk-UA"/>
              </w:rPr>
              <w:t>д</w:t>
            </w:r>
            <w:r w:rsidRPr="002D7AF8">
              <w:rPr>
                <w:szCs w:val="24"/>
                <w:lang w:val="uk-UA"/>
              </w:rPr>
              <w:t>окументальне підтвердження відповідності посл</w:t>
            </w:r>
            <w:r w:rsidR="006C2775" w:rsidRPr="002D7AF8">
              <w:rPr>
                <w:szCs w:val="24"/>
                <w:lang w:val="uk-UA"/>
              </w:rPr>
              <w:t>уг</w:t>
            </w:r>
            <w:r w:rsidRPr="002D7AF8">
              <w:rPr>
                <w:szCs w:val="24"/>
                <w:lang w:val="uk-UA"/>
              </w:rPr>
              <w:t xml:space="preserve">: </w:t>
            </w:r>
          </w:p>
          <w:p w:rsidR="00B629CD" w:rsidRPr="002D7AF8" w:rsidRDefault="00B629CD" w:rsidP="00CB00FE">
            <w:pPr>
              <w:pStyle w:val="1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2D7AF8">
              <w:rPr>
                <w:sz w:val="24"/>
                <w:szCs w:val="24"/>
                <w:lang w:val="uk-UA"/>
              </w:rPr>
              <w:t>- пояснювальна записка;</w:t>
            </w:r>
          </w:p>
          <w:p w:rsidR="00B629CD" w:rsidRPr="002D7AF8" w:rsidRDefault="00B629CD" w:rsidP="00CB00FE">
            <w:pPr>
              <w:pStyle w:val="1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2D7AF8">
              <w:rPr>
                <w:sz w:val="24"/>
                <w:szCs w:val="24"/>
                <w:lang w:val="uk-UA"/>
              </w:rPr>
              <w:t>- розрахунок твердої договірної ціни пропозиції;</w:t>
            </w:r>
          </w:p>
          <w:p w:rsidR="00B629CD" w:rsidRPr="002D7AF8" w:rsidRDefault="00B629CD" w:rsidP="00CB00FE">
            <w:pPr>
              <w:pStyle w:val="1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2D7AF8">
              <w:rPr>
                <w:sz w:val="24"/>
                <w:szCs w:val="24"/>
                <w:lang w:val="uk-UA"/>
              </w:rPr>
              <w:t>- локальний кошторис;</w:t>
            </w:r>
          </w:p>
          <w:p w:rsidR="00B629CD" w:rsidRPr="002D7AF8" w:rsidRDefault="00B629CD" w:rsidP="00CB00FE">
            <w:pPr>
              <w:pStyle w:val="1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2D7AF8">
              <w:rPr>
                <w:sz w:val="24"/>
                <w:szCs w:val="24"/>
                <w:lang w:val="uk-UA"/>
              </w:rPr>
              <w:t>- підсумкова відомість ресурсів;</w:t>
            </w:r>
          </w:p>
          <w:p w:rsidR="00B629CD" w:rsidRPr="002D7AF8" w:rsidRDefault="00B629CD" w:rsidP="00CB00FE">
            <w:pPr>
              <w:pStyle w:val="1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2D7AF8">
              <w:rPr>
                <w:sz w:val="24"/>
                <w:szCs w:val="24"/>
                <w:lang w:val="uk-UA"/>
              </w:rPr>
              <w:t>- розрахунок загальновиробничих витрат;</w:t>
            </w:r>
          </w:p>
          <w:p w:rsidR="00B629CD" w:rsidRPr="002D7AF8" w:rsidRDefault="00B629CD" w:rsidP="00CB00FE">
            <w:pPr>
              <w:pStyle w:val="1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2D7AF8">
              <w:rPr>
                <w:sz w:val="24"/>
                <w:szCs w:val="24"/>
                <w:lang w:val="uk-UA"/>
              </w:rPr>
              <w:t>- дефектний акт.</w:t>
            </w:r>
          </w:p>
          <w:p w:rsidR="00B629CD" w:rsidRPr="002D7AF8" w:rsidRDefault="00B629CD" w:rsidP="00CB00FE">
            <w:pPr>
              <w:spacing w:before="120"/>
              <w:ind w:left="567" w:hanging="567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 xml:space="preserve">7. Остаточно виводиться підсумкова ціна пропозиції, надається  розрахунок твердої договірної ціни та кошторис українською мовою. </w:t>
            </w:r>
          </w:p>
          <w:p w:rsidR="00B629CD" w:rsidRPr="002D7AF8" w:rsidRDefault="00B629CD" w:rsidP="00CB00FE">
            <w:pPr>
              <w:spacing w:before="120"/>
              <w:ind w:left="567" w:hanging="567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8. Цiна тендерної пропозиції (договірна ціна) учасника повинна були розрахована відповідно до діючих кошторисних норм України та виконана у програмному комплексі АВК-5 останньої  редакції або у програмному комплексі, який взаємодіє з ним в частині передачі кошторисної документації та розрахунків договірних цін (надається замовнику у форматі .imd або idc) та pdf.</w:t>
            </w:r>
          </w:p>
          <w:p w:rsidR="00B629CD" w:rsidRPr="002D7AF8" w:rsidRDefault="00B629CD" w:rsidP="00CB00FE">
            <w:pPr>
              <w:spacing w:before="120"/>
              <w:ind w:left="567" w:hanging="567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9. У складі пропозиції учасник надає визначені розрахунково-аналітичним методом показники загальновиробничих витрат (ЗВВ) на підставі аналізу витрат за попередній звітний період (2022 р.), згідно п.4.14-4.17  «Настанови з визначення вартості будівництва».</w:t>
            </w:r>
          </w:p>
          <w:p w:rsidR="00B629CD" w:rsidRPr="002D7AF8" w:rsidRDefault="00B629CD" w:rsidP="00CB00FE">
            <w:pPr>
              <w:spacing w:before="120"/>
              <w:ind w:left="567" w:hanging="567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 xml:space="preserve">10. У складі пропозиції учасник надає розрахунок адміністративних витрат, який  визначається на підставі обґрунтованої їх величини і структури, яка склалася у цій </w:t>
            </w:r>
            <w:r w:rsidRPr="002D7AF8">
              <w:rPr>
                <w:szCs w:val="24"/>
                <w:lang w:val="uk-UA"/>
              </w:rPr>
              <w:lastRenderedPageBreak/>
              <w:t>організації за попередній звітний період (2022 р.), згідно п.5.13-5.18  «Настанови з визначення вартості будівництва».</w:t>
            </w:r>
          </w:p>
          <w:p w:rsidR="00B629CD" w:rsidRPr="002D7AF8" w:rsidRDefault="00B629CD" w:rsidP="00CB00FE">
            <w:pPr>
              <w:spacing w:before="120"/>
              <w:ind w:left="567" w:hanging="567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11. Рівень середньомісячної заробітної плати в кошторисній документації, при середньому розряді складності робіт - 3,8, прийняти у розмірі 12 500,0  грн. при середньомісячної тривалості робочого часу 169 годин.</w:t>
            </w:r>
          </w:p>
          <w:p w:rsidR="00B629CD" w:rsidRPr="002D7AF8" w:rsidRDefault="00B629CD" w:rsidP="00CB00FE">
            <w:pPr>
              <w:spacing w:before="120"/>
              <w:ind w:left="567" w:hanging="567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12. Усереднений показник для визначення розміру кошторисного прибутку прийняти в розмірі 7,65 грн/люд. год. загальної кошторисної трудомісткості (Додаток 25 до «Настанови з визначення вартості будівництва»  п. 4.38).</w:t>
            </w:r>
          </w:p>
          <w:p w:rsidR="00B629CD" w:rsidRPr="002D7AF8" w:rsidRDefault="00B629CD" w:rsidP="00B629CD">
            <w:pPr>
              <w:numPr>
                <w:ilvl w:val="0"/>
                <w:numId w:val="10"/>
              </w:numPr>
              <w:spacing w:before="120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13. Адміністративні витрати в складі ціни пропозиції учасника процедури закупівлі (договірної ціни) обчислюються згідно Настанови з визначення вартості будівництва п. 5.17.</w:t>
            </w:r>
          </w:p>
          <w:p w:rsidR="00B629CD" w:rsidRPr="002D7AF8" w:rsidRDefault="00B629CD" w:rsidP="00B629CD">
            <w:pPr>
              <w:numPr>
                <w:ilvl w:val="0"/>
                <w:numId w:val="10"/>
              </w:numPr>
              <w:shd w:val="clear" w:color="auto" w:fill="FFFFFF"/>
              <w:spacing w:before="120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14. Кошти на покриття витрат пов’язаних з інфляційними процесами згідно Настанови п.4.41 не враховувати.</w:t>
            </w:r>
          </w:p>
          <w:p w:rsidR="00B629CD" w:rsidRPr="002D7AF8" w:rsidRDefault="00B629CD" w:rsidP="00B629CD">
            <w:pPr>
              <w:numPr>
                <w:ilvl w:val="0"/>
                <w:numId w:val="10"/>
              </w:numPr>
              <w:shd w:val="clear" w:color="auto" w:fill="FFFFFF"/>
              <w:spacing w:before="120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>15. Поточні ціни на матеріальні ресурси приймаються за обґрунтованими, як правило, найменшими (при всіх рівних характеристиках) цінами на підставі проведеного учасником (підрядником) аналізу цін на ринку будівельних матеріалів в регіоні (п.4.9-4.13 «Настанови з визначення вартості будівництва»), згідно умов договору.</w:t>
            </w:r>
          </w:p>
          <w:p w:rsidR="00B629CD" w:rsidRPr="002D7AF8" w:rsidRDefault="00B629CD" w:rsidP="006C2775">
            <w:pPr>
              <w:numPr>
                <w:ilvl w:val="0"/>
                <w:numId w:val="10"/>
              </w:numPr>
              <w:shd w:val="clear" w:color="auto" w:fill="FFFFFF"/>
              <w:spacing w:before="120"/>
              <w:jc w:val="both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 xml:space="preserve">16. Перед початком надання послуг Переможець повинен укласти договір з орендарем приміщень на відшкодування витрат (за власний рахунок) за використані енергоресурси. </w:t>
            </w:r>
          </w:p>
          <w:p w:rsidR="00B629CD" w:rsidRPr="002D7AF8" w:rsidRDefault="00B629CD" w:rsidP="00CB00FE">
            <w:pPr>
              <w:keepLines/>
              <w:autoSpaceDE w:val="0"/>
              <w:jc w:val="center"/>
              <w:rPr>
                <w:b/>
                <w:bCs/>
                <w:spacing w:val="-3"/>
                <w:szCs w:val="24"/>
                <w:lang w:val="uk-UA"/>
              </w:rPr>
            </w:pPr>
          </w:p>
          <w:p w:rsidR="00B629CD" w:rsidRPr="002D7AF8" w:rsidRDefault="00B629CD" w:rsidP="00CB00FE">
            <w:pPr>
              <w:keepLines/>
              <w:autoSpaceDE w:val="0"/>
              <w:jc w:val="center"/>
              <w:rPr>
                <w:lang w:val="uk-UA"/>
              </w:rPr>
            </w:pPr>
            <w:r w:rsidRPr="002D7AF8">
              <w:rPr>
                <w:b/>
                <w:bCs/>
                <w:spacing w:val="-3"/>
                <w:szCs w:val="24"/>
                <w:lang w:val="uk-UA"/>
              </w:rPr>
              <w:t>ДЕФЕКТНИЙ АКТ</w:t>
            </w:r>
          </w:p>
        </w:tc>
      </w:tr>
      <w:tr w:rsidR="00B629CD" w:rsidRPr="002D7AF8" w:rsidTr="00CB00FE">
        <w:trPr>
          <w:gridAfter w:val="2"/>
          <w:wAfter w:w="472" w:type="dxa"/>
          <w:jc w:val="center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both"/>
              <w:rPr>
                <w:szCs w:val="24"/>
                <w:lang w:val="uk-UA"/>
              </w:rPr>
            </w:pPr>
            <w:r w:rsidRPr="002D7AF8">
              <w:rPr>
                <w:spacing w:val="-3"/>
                <w:szCs w:val="24"/>
                <w:lang w:val="uk-UA"/>
              </w:rPr>
              <w:lastRenderedPageBreak/>
              <w:t xml:space="preserve">Умови надання послуг:  </w:t>
            </w:r>
            <w:r w:rsidRPr="002D7AF8">
              <w:rPr>
                <w:szCs w:val="24"/>
                <w:lang w:val="uk-UA"/>
              </w:rPr>
              <w:t xml:space="preserve">Виконання </w:t>
            </w:r>
            <w:r w:rsidR="006C2775" w:rsidRPr="002D7AF8">
              <w:rPr>
                <w:szCs w:val="24"/>
                <w:lang w:val="uk-UA"/>
              </w:rPr>
              <w:t>поточного ремонту</w:t>
            </w:r>
            <w:r w:rsidRPr="002D7AF8">
              <w:rPr>
                <w:szCs w:val="24"/>
                <w:lang w:val="uk-UA"/>
              </w:rPr>
              <w:t xml:space="preserve"> в експлуатованих будівлях та спорудах,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szCs w:val="24"/>
                <w:lang w:val="uk-UA"/>
              </w:rPr>
            </w:pPr>
            <w:r w:rsidRPr="002D7AF8">
              <w:rPr>
                <w:szCs w:val="24"/>
                <w:lang w:val="uk-UA"/>
              </w:rPr>
              <w:t xml:space="preserve">Звільнених від устаткування та інших предметів, що заважають нормальному виконанню </w:t>
            </w:r>
            <w:r w:rsidR="006C2775" w:rsidRPr="002D7AF8">
              <w:rPr>
                <w:szCs w:val="24"/>
                <w:lang w:val="uk-UA"/>
              </w:rPr>
              <w:t>поточного ремонту</w:t>
            </w:r>
            <w:r w:rsidRPr="002D7AF8">
              <w:rPr>
                <w:szCs w:val="24"/>
                <w:lang w:val="uk-UA"/>
              </w:rPr>
              <w:t xml:space="preserve"> 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lang w:val="uk-UA"/>
              </w:rPr>
            </w:pPr>
            <w:r w:rsidRPr="002D7AF8">
              <w:rPr>
                <w:spacing w:val="-3"/>
                <w:szCs w:val="24"/>
                <w:lang w:val="uk-UA"/>
              </w:rPr>
              <w:t>Обсяги послуг</w:t>
            </w:r>
            <w:r w:rsidRPr="002D7AF8">
              <w:rPr>
                <w:spacing w:val="-3"/>
                <w:szCs w:val="24"/>
                <w:lang w:val="en-US"/>
              </w:rPr>
              <w:t>:</w:t>
            </w:r>
          </w:p>
        </w:tc>
      </w:tr>
      <w:tr w:rsidR="00B629CD" w:rsidRPr="002D7AF8" w:rsidTr="00CB00FE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B629CD" w:rsidRPr="002D7AF8" w:rsidTr="00CB00FE">
        <w:trPr>
          <w:gridBefore w:val="1"/>
          <w:wBefore w:w="56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№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Ч.ч.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</w:p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Одиниця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 xml:space="preserve">  Кількість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Примітка</w:t>
            </w:r>
          </w:p>
        </w:tc>
      </w:tr>
      <w:tr w:rsidR="00B629CD" w:rsidRPr="002D7AF8" w:rsidTr="00CB00FE">
        <w:trPr>
          <w:gridBefore w:val="1"/>
          <w:wBefore w:w="56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5</w:t>
            </w:r>
          </w:p>
        </w:tc>
      </w:tr>
      <w:tr w:rsidR="00B629CD" w:rsidRPr="002D7AF8" w:rsidTr="00CB00FE">
        <w:trPr>
          <w:gridBefore w:val="1"/>
          <w:wBefore w:w="5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  <w:t>Заповнення дверних прорізів готовими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  <w:t>дверними блоками площею більше 3 м2 з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  <w:t>металопластику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  <w:t>0,109143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A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29CD" w:rsidRPr="002D7AF8" w:rsidTr="00CB00FE">
        <w:trPr>
          <w:gridBefore w:val="1"/>
          <w:wBefore w:w="5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Дверний блок металопластиковий арочний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ламінований, антрацит піщаний 1200*2900,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склопакет 4і-10-4-10-4і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A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29CD" w:rsidRPr="002D7AF8" w:rsidTr="00CB00FE">
        <w:trPr>
          <w:gridBefore w:val="1"/>
          <w:wBefore w:w="5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Дверний блок металопластиковий арочний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ламінований, антрацит піщаний 1280*2945,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склопакет 4і-16Ar-4і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A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29CD" w:rsidRPr="002D7AF8" w:rsidTr="00CB00FE">
        <w:trPr>
          <w:gridBefore w:val="1"/>
          <w:wBefore w:w="5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Дверний блок металопластиковий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ламінований, антрацит піщаний 1320*2825,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склопакет 4і-10-4-10-4і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A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29CD" w:rsidRPr="002D7AF8" w:rsidTr="00CB00FE">
        <w:trPr>
          <w:gridBefore w:val="1"/>
          <w:wBefore w:w="5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Дюбель-шуруп 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29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A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29CD" w:rsidRPr="002D7AF8" w:rsidTr="00CB00FE">
        <w:trPr>
          <w:gridBefore w:val="1"/>
          <w:wBefore w:w="5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Монтажна піна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1,45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A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29CD" w:rsidRPr="00A361F5" w:rsidTr="00CB00FE">
        <w:trPr>
          <w:gridBefore w:val="1"/>
          <w:wBefore w:w="56" w:type="dxa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spacing w:val="-3"/>
                <w:sz w:val="20"/>
                <w:lang w:val="uk-UA"/>
              </w:rPr>
              <w:t>7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</w:pPr>
            <w:r w:rsidRPr="002D7AF8"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  <w:t>Улаштування нащільников з алюмінієвого</w:t>
            </w:r>
          </w:p>
          <w:p w:rsidR="00B629CD" w:rsidRPr="002D7AF8" w:rsidRDefault="00B629CD" w:rsidP="00CB00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  <w:t>профілю на шурупах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29CD" w:rsidRPr="002D7AF8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D" w:rsidRDefault="00B629CD" w:rsidP="00CB00FE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 w:rsidRPr="002D7AF8">
              <w:rPr>
                <w:rFonts w:ascii="Arial" w:hAnsi="Arial" w:cs="Arial"/>
                <w:i/>
                <w:iCs/>
                <w:spacing w:val="-3"/>
                <w:sz w:val="20"/>
                <w:lang w:val="uk-UA"/>
              </w:rPr>
              <w:t>0,3664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9CD" w:rsidRPr="00A361F5" w:rsidRDefault="00B629CD" w:rsidP="00CB00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</w:p>
        </w:tc>
      </w:tr>
    </w:tbl>
    <w:p w:rsidR="00D454A6" w:rsidRPr="008D0D35" w:rsidRDefault="00D454A6" w:rsidP="00D454A6">
      <w:pPr>
        <w:tabs>
          <w:tab w:val="left" w:pos="567"/>
        </w:tabs>
        <w:jc w:val="both"/>
        <w:rPr>
          <w:szCs w:val="24"/>
          <w:lang w:val="uk-UA"/>
        </w:rPr>
      </w:pPr>
    </w:p>
    <w:p w:rsidR="002A6162" w:rsidRPr="003B5A4E" w:rsidRDefault="00D454A6" w:rsidP="00A92009">
      <w:pPr>
        <w:jc w:val="both"/>
        <w:rPr>
          <w:color w:val="000000" w:themeColor="text1"/>
          <w:szCs w:val="24"/>
          <w:lang w:val="uk-UA"/>
        </w:rPr>
      </w:pPr>
      <w:r w:rsidRPr="008D0D35">
        <w:rPr>
          <w:szCs w:val="24"/>
          <w:lang w:val="uk-UA"/>
        </w:rPr>
        <w:t xml:space="preserve">        </w:t>
      </w:r>
    </w:p>
    <w:p w:rsidR="002A6162" w:rsidRPr="003B5A4E" w:rsidRDefault="002A6162" w:rsidP="00443ABD">
      <w:pPr>
        <w:tabs>
          <w:tab w:val="left" w:pos="7088"/>
          <w:tab w:val="left" w:pos="7371"/>
        </w:tabs>
        <w:ind w:left="-426" w:firstLine="426"/>
        <w:jc w:val="both"/>
        <w:rPr>
          <w:color w:val="000000" w:themeColor="text1"/>
          <w:szCs w:val="24"/>
          <w:lang w:val="uk-UA"/>
        </w:rPr>
      </w:pPr>
    </w:p>
    <w:sectPr w:rsidR="002A6162" w:rsidRPr="003B5A4E" w:rsidSect="0098200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0C5BC9"/>
    <w:multiLevelType w:val="hybridMultilevel"/>
    <w:tmpl w:val="0FF8112C"/>
    <w:lvl w:ilvl="0" w:tplc="6622858E">
      <w:start w:val="30"/>
      <w:numFmt w:val="bullet"/>
      <w:lvlText w:val=""/>
      <w:lvlJc w:val="left"/>
      <w:pPr>
        <w:ind w:left="2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2" w15:restartNumberingAfterBreak="0">
    <w:nsid w:val="1AC4010D"/>
    <w:multiLevelType w:val="hybridMultilevel"/>
    <w:tmpl w:val="FE0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7814"/>
    <w:multiLevelType w:val="hybridMultilevel"/>
    <w:tmpl w:val="1212A342"/>
    <w:lvl w:ilvl="0" w:tplc="BE46F5F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6242"/>
    <w:multiLevelType w:val="hybridMultilevel"/>
    <w:tmpl w:val="A3C66A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7183"/>
    <w:multiLevelType w:val="hybridMultilevel"/>
    <w:tmpl w:val="0E183498"/>
    <w:lvl w:ilvl="0" w:tplc="3072EF12">
      <w:start w:val="30"/>
      <w:numFmt w:val="bullet"/>
      <w:lvlText w:val="-"/>
      <w:lvlJc w:val="left"/>
      <w:pPr>
        <w:ind w:left="298" w:hanging="360"/>
      </w:pPr>
      <w:rPr>
        <w:rFonts w:ascii="Times New Roman" w:eastAsia="Times New Roman" w:hAnsi="Times New Roman" w:cs="Times New Roman" w:hint="default"/>
        <w:color w:val="202122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6" w15:restartNumberingAfterBreak="0">
    <w:nsid w:val="3ED3750C"/>
    <w:multiLevelType w:val="hybridMultilevel"/>
    <w:tmpl w:val="F26A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786B"/>
    <w:multiLevelType w:val="multilevel"/>
    <w:tmpl w:val="C5909B3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DE1545"/>
    <w:multiLevelType w:val="hybridMultilevel"/>
    <w:tmpl w:val="FE0235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ED09F2"/>
    <w:multiLevelType w:val="multilevel"/>
    <w:tmpl w:val="6C6C0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1D"/>
    <w:rsid w:val="00006929"/>
    <w:rsid w:val="00010D86"/>
    <w:rsid w:val="0001732D"/>
    <w:rsid w:val="00020B0E"/>
    <w:rsid w:val="00024CEB"/>
    <w:rsid w:val="000368C5"/>
    <w:rsid w:val="00037F0F"/>
    <w:rsid w:val="000520A7"/>
    <w:rsid w:val="000834F0"/>
    <w:rsid w:val="000E5080"/>
    <w:rsid w:val="000E7310"/>
    <w:rsid w:val="000F213F"/>
    <w:rsid w:val="00104F22"/>
    <w:rsid w:val="00107960"/>
    <w:rsid w:val="00117C1D"/>
    <w:rsid w:val="001312B3"/>
    <w:rsid w:val="001365AB"/>
    <w:rsid w:val="00154BAC"/>
    <w:rsid w:val="001608A7"/>
    <w:rsid w:val="00170B23"/>
    <w:rsid w:val="0017705D"/>
    <w:rsid w:val="00177A32"/>
    <w:rsid w:val="00197CE2"/>
    <w:rsid w:val="001A40F3"/>
    <w:rsid w:val="001C2D5C"/>
    <w:rsid w:val="001C3487"/>
    <w:rsid w:val="001C3BD5"/>
    <w:rsid w:val="001C4B90"/>
    <w:rsid w:val="001D75FF"/>
    <w:rsid w:val="001E5140"/>
    <w:rsid w:val="002075D5"/>
    <w:rsid w:val="00226416"/>
    <w:rsid w:val="002266BF"/>
    <w:rsid w:val="00241EC0"/>
    <w:rsid w:val="0026685E"/>
    <w:rsid w:val="00274E28"/>
    <w:rsid w:val="002A6162"/>
    <w:rsid w:val="002D7AF8"/>
    <w:rsid w:val="002F24E7"/>
    <w:rsid w:val="002F453C"/>
    <w:rsid w:val="002F7DB8"/>
    <w:rsid w:val="00322815"/>
    <w:rsid w:val="00323131"/>
    <w:rsid w:val="0035649E"/>
    <w:rsid w:val="00361FE9"/>
    <w:rsid w:val="00365A7E"/>
    <w:rsid w:val="003718C2"/>
    <w:rsid w:val="0037192F"/>
    <w:rsid w:val="00371A2A"/>
    <w:rsid w:val="00372C64"/>
    <w:rsid w:val="00391FC6"/>
    <w:rsid w:val="003B5A4E"/>
    <w:rsid w:val="003C54B3"/>
    <w:rsid w:val="003D5E8E"/>
    <w:rsid w:val="003F3394"/>
    <w:rsid w:val="00413BC4"/>
    <w:rsid w:val="004164D8"/>
    <w:rsid w:val="0042004A"/>
    <w:rsid w:val="00420293"/>
    <w:rsid w:val="00443ABD"/>
    <w:rsid w:val="00454D5D"/>
    <w:rsid w:val="0046649D"/>
    <w:rsid w:val="00474206"/>
    <w:rsid w:val="00474691"/>
    <w:rsid w:val="004B450D"/>
    <w:rsid w:val="004C1C0F"/>
    <w:rsid w:val="004F38FD"/>
    <w:rsid w:val="0051275F"/>
    <w:rsid w:val="00517F1D"/>
    <w:rsid w:val="005262F1"/>
    <w:rsid w:val="00531833"/>
    <w:rsid w:val="005350EF"/>
    <w:rsid w:val="00543EB7"/>
    <w:rsid w:val="00555FC5"/>
    <w:rsid w:val="00576014"/>
    <w:rsid w:val="00577B6C"/>
    <w:rsid w:val="00581243"/>
    <w:rsid w:val="00591018"/>
    <w:rsid w:val="00593D73"/>
    <w:rsid w:val="0059483B"/>
    <w:rsid w:val="005B2306"/>
    <w:rsid w:val="005B5FB0"/>
    <w:rsid w:val="005D1D19"/>
    <w:rsid w:val="00613798"/>
    <w:rsid w:val="0062024B"/>
    <w:rsid w:val="00643D4F"/>
    <w:rsid w:val="00646722"/>
    <w:rsid w:val="00676331"/>
    <w:rsid w:val="00677A6A"/>
    <w:rsid w:val="006A25D2"/>
    <w:rsid w:val="006C0E3C"/>
    <w:rsid w:val="006C2775"/>
    <w:rsid w:val="006C5E58"/>
    <w:rsid w:val="006E1AAB"/>
    <w:rsid w:val="00700DCC"/>
    <w:rsid w:val="00702B23"/>
    <w:rsid w:val="007160F4"/>
    <w:rsid w:val="007357D7"/>
    <w:rsid w:val="0075469F"/>
    <w:rsid w:val="00777FE9"/>
    <w:rsid w:val="00785697"/>
    <w:rsid w:val="00790A0B"/>
    <w:rsid w:val="0079718D"/>
    <w:rsid w:val="007A39BC"/>
    <w:rsid w:val="007C4FDC"/>
    <w:rsid w:val="007D0545"/>
    <w:rsid w:val="007F21B4"/>
    <w:rsid w:val="007F3820"/>
    <w:rsid w:val="00805F25"/>
    <w:rsid w:val="00812A45"/>
    <w:rsid w:val="00812F52"/>
    <w:rsid w:val="008143F6"/>
    <w:rsid w:val="00830D5C"/>
    <w:rsid w:val="00843C09"/>
    <w:rsid w:val="00853979"/>
    <w:rsid w:val="008763B2"/>
    <w:rsid w:val="0088642A"/>
    <w:rsid w:val="00890E77"/>
    <w:rsid w:val="00891B1B"/>
    <w:rsid w:val="008976F9"/>
    <w:rsid w:val="008A7888"/>
    <w:rsid w:val="008B5C8F"/>
    <w:rsid w:val="008C20BE"/>
    <w:rsid w:val="008D0D35"/>
    <w:rsid w:val="008D3C80"/>
    <w:rsid w:val="008E3A0B"/>
    <w:rsid w:val="00901DB2"/>
    <w:rsid w:val="00915984"/>
    <w:rsid w:val="00981C09"/>
    <w:rsid w:val="0098200A"/>
    <w:rsid w:val="00993178"/>
    <w:rsid w:val="009948DA"/>
    <w:rsid w:val="009B4FFF"/>
    <w:rsid w:val="009C227D"/>
    <w:rsid w:val="00A06F01"/>
    <w:rsid w:val="00A07F26"/>
    <w:rsid w:val="00A16810"/>
    <w:rsid w:val="00A40F41"/>
    <w:rsid w:val="00A40FB4"/>
    <w:rsid w:val="00A430A2"/>
    <w:rsid w:val="00A73CDD"/>
    <w:rsid w:val="00A74C31"/>
    <w:rsid w:val="00A85850"/>
    <w:rsid w:val="00A904FE"/>
    <w:rsid w:val="00A92009"/>
    <w:rsid w:val="00A95CC6"/>
    <w:rsid w:val="00AA6C34"/>
    <w:rsid w:val="00AB5CA6"/>
    <w:rsid w:val="00AC3260"/>
    <w:rsid w:val="00AE02D4"/>
    <w:rsid w:val="00AE157F"/>
    <w:rsid w:val="00B00BDD"/>
    <w:rsid w:val="00B11B46"/>
    <w:rsid w:val="00B249F0"/>
    <w:rsid w:val="00B30821"/>
    <w:rsid w:val="00B3546F"/>
    <w:rsid w:val="00B37E75"/>
    <w:rsid w:val="00B629CD"/>
    <w:rsid w:val="00B64983"/>
    <w:rsid w:val="00B813E0"/>
    <w:rsid w:val="00B855EE"/>
    <w:rsid w:val="00BA36F0"/>
    <w:rsid w:val="00BB4197"/>
    <w:rsid w:val="00BC37A5"/>
    <w:rsid w:val="00BE0010"/>
    <w:rsid w:val="00C2010A"/>
    <w:rsid w:val="00C20DA0"/>
    <w:rsid w:val="00C5419B"/>
    <w:rsid w:val="00C544B2"/>
    <w:rsid w:val="00C7399A"/>
    <w:rsid w:val="00C81C22"/>
    <w:rsid w:val="00C95EA8"/>
    <w:rsid w:val="00CD63D6"/>
    <w:rsid w:val="00D16843"/>
    <w:rsid w:val="00D24A7B"/>
    <w:rsid w:val="00D44146"/>
    <w:rsid w:val="00D454A6"/>
    <w:rsid w:val="00D84F3D"/>
    <w:rsid w:val="00DA69E8"/>
    <w:rsid w:val="00DB1E4A"/>
    <w:rsid w:val="00DC09D9"/>
    <w:rsid w:val="00DC24DA"/>
    <w:rsid w:val="00DD025B"/>
    <w:rsid w:val="00DE27E6"/>
    <w:rsid w:val="00DE2CFC"/>
    <w:rsid w:val="00DE31C9"/>
    <w:rsid w:val="00E00929"/>
    <w:rsid w:val="00E13FDD"/>
    <w:rsid w:val="00E2059A"/>
    <w:rsid w:val="00E2601A"/>
    <w:rsid w:val="00E33410"/>
    <w:rsid w:val="00E408C5"/>
    <w:rsid w:val="00E57E08"/>
    <w:rsid w:val="00E60ECA"/>
    <w:rsid w:val="00E861DC"/>
    <w:rsid w:val="00E87F73"/>
    <w:rsid w:val="00E9386A"/>
    <w:rsid w:val="00E94125"/>
    <w:rsid w:val="00E97474"/>
    <w:rsid w:val="00EB66A8"/>
    <w:rsid w:val="00EC1F6A"/>
    <w:rsid w:val="00EE4DB1"/>
    <w:rsid w:val="00EF4D30"/>
    <w:rsid w:val="00F174D7"/>
    <w:rsid w:val="00F32411"/>
    <w:rsid w:val="00F3448E"/>
    <w:rsid w:val="00F35BDF"/>
    <w:rsid w:val="00F46D0F"/>
    <w:rsid w:val="00F735F3"/>
    <w:rsid w:val="00F8328B"/>
    <w:rsid w:val="00FA0DED"/>
    <w:rsid w:val="00FA5018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99929-A9F9-40DE-A60C-D0D0485B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77"/>
    <w:pPr>
      <w:spacing w:after="0" w:line="240" w:lineRule="auto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2009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BDF"/>
    <w:rPr>
      <w:color w:val="0000FF"/>
      <w:u w:val="single"/>
    </w:rPr>
  </w:style>
  <w:style w:type="paragraph" w:styleId="a4">
    <w:name w:val="No Spacing"/>
    <w:link w:val="a5"/>
    <w:qFormat/>
    <w:rsid w:val="00F35BD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3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87"/>
    <w:rPr>
      <w:rFonts w:ascii="Segoe UI" w:eastAsia="Times New Roman" w:hAnsi="Segoe UI" w:cs="Segoe UI"/>
      <w:spacing w:val="10"/>
      <w:sz w:val="18"/>
      <w:szCs w:val="18"/>
      <w:lang w:eastAsia="ru-RU"/>
    </w:rPr>
  </w:style>
  <w:style w:type="table" w:styleId="a8">
    <w:name w:val="Table Grid"/>
    <w:basedOn w:val="a1"/>
    <w:uiPriority w:val="59"/>
    <w:rsid w:val="0089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976F9"/>
    <w:pPr>
      <w:spacing w:before="100" w:beforeAutospacing="1" w:after="100" w:afterAutospacing="1"/>
    </w:pPr>
    <w:rPr>
      <w:spacing w:val="0"/>
      <w:szCs w:val="24"/>
    </w:rPr>
  </w:style>
  <w:style w:type="paragraph" w:styleId="aa">
    <w:name w:val="Body Text Indent"/>
    <w:basedOn w:val="a"/>
    <w:link w:val="ab"/>
    <w:uiPriority w:val="99"/>
    <w:unhideWhenUsed/>
    <w:rsid w:val="00EE4DB1"/>
    <w:pPr>
      <w:spacing w:after="120"/>
      <w:ind w:left="360"/>
    </w:pPr>
    <w:rPr>
      <w:spacing w:val="0"/>
      <w:sz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EE4D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aliases w:val="название табл/рис,Список уровня 2,Bullet Number,Bullet 1,Use Case List Paragraph,lp1,List Paragraph1,lp11,List Paragraph11"/>
    <w:basedOn w:val="a"/>
    <w:link w:val="ad"/>
    <w:uiPriority w:val="34"/>
    <w:qFormat/>
    <w:rsid w:val="00E26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d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c"/>
    <w:uiPriority w:val="34"/>
    <w:locked/>
    <w:rsid w:val="00890E77"/>
  </w:style>
  <w:style w:type="character" w:customStyle="1" w:styleId="10">
    <w:name w:val="Заголовок 1 Знак"/>
    <w:basedOn w:val="a0"/>
    <w:link w:val="1"/>
    <w:uiPriority w:val="9"/>
    <w:rsid w:val="00A92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link w:val="a4"/>
    <w:locked/>
    <w:rsid w:val="00E57E08"/>
    <w:rPr>
      <w:rFonts w:ascii="Calibri" w:eastAsia="Calibri" w:hAnsi="Calibri" w:cs="Times New Roman"/>
    </w:rPr>
  </w:style>
  <w:style w:type="paragraph" w:customStyle="1" w:styleId="2">
    <w:name w:val="Без інтервалів2"/>
    <w:rsid w:val="00B629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інтервалів1"/>
    <w:rsid w:val="00B629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52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5591-49C0-4F0E-8285-53DB7DCA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Mariupolrada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Виктория Анатольевна</dc:creator>
  <cp:lastModifiedBy>Меленець Радислав Сергійович</cp:lastModifiedBy>
  <cp:revision>7</cp:revision>
  <cp:lastPrinted>2023-08-24T08:19:00Z</cp:lastPrinted>
  <dcterms:created xsi:type="dcterms:W3CDTF">2023-08-24T08:05:00Z</dcterms:created>
  <dcterms:modified xsi:type="dcterms:W3CDTF">2023-08-30T19:44:00Z</dcterms:modified>
</cp:coreProperties>
</file>