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Pr="005B1A71" w:rsidRDefault="00D07A53" w:rsidP="00D07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</w:t>
      </w:r>
      <w:r w:rsidR="000208E8" w:rsidRPr="005B1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2</w:t>
      </w:r>
    </w:p>
    <w:p w:rsidR="00656F02" w:rsidRDefault="000208E8" w:rsidP="00E91E0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B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 w:rsidRPr="005B1A7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tbl>
      <w:tblPr>
        <w:tblW w:w="54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3734"/>
        <w:gridCol w:w="3557"/>
        <w:gridCol w:w="786"/>
        <w:gridCol w:w="794"/>
      </w:tblGrid>
      <w:tr w:rsidR="00E3634B" w:rsidRPr="00E3634B" w:rsidTr="00F335D7">
        <w:trPr>
          <w:trHeight w:val="287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Назва препарата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Медико-технічні вимоги</w:t>
            </w:r>
          </w:p>
        </w:tc>
        <w:tc>
          <w:tcPr>
            <w:tcW w:w="400" w:type="pct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Од. вим.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К-сть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 СР (Лужна фосфатаза)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АLТ СР (Аланінамінотрансфераза)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АSТ СР (Аспартатамінотрансфераза)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Білірубін, Прямий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Білірубін, Загальний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Холестерин СР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Креатинін 120 СР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 РАР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358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Тригліцериди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Сечовина СР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Сечова кислота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білок 100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Амілаза СР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CRP СР (С-реактивний білок)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 Прямий СР (Холестерин ЛВЩ)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 Прямий СР (Холестерин ЛНЩ)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Калібратор HDL (Холестерин </w:t>
            </w: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ЛВЩ)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Набір 2 флакони по 1 мл </w:t>
            </w: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26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Калібратор LDL (Холестерин ЛНЩ)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 2 флакони по 1 мл 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19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Калібратор CRP (С-реактивний білок)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 3 флакони по 3 мл 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193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Мультікалібратор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 по 5 мл 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8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МультіКонтроль N ABX Pentra (АБХ Пентра)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Флакон по 5 мл 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8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МультіКонтроль P ABX Pentra (АБХ Пентра)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  по 5 мл 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Депротеінізатор СР ABX Pentra (АБХ Пентра)    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Адаптований для роботи на біохімічному аналізаторі Pentra C200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Кювети з штативом PC200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Одноразові пластмасові кювети з оптичним каналом. </w:t>
            </w: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автоматичного біохімічного аналізатора Pentra С200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EI-701 EQUI anti-Treponema pallidum 96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ІФА набір для якісного виявлення сумарних антитіл до Treponema pallidum, 96 аналізів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EI-011 EQUI HBsAg 96 аналізів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ІФА набір для якісного  виявлення поверхневого антигена вірусу гепатиту В, 96 аналізів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Сольовий агар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Виділення стафілококів, 250г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Плазма кроляча суха 1 мл № 10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Призначення – видова ідентифікація стафілококу в реакції плазмокоагуляції.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Забарвлення за Грамом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Призначений для диференціального забарвлення, дослідження структури клітинної стінки і виявлення приналежності бактерій до грампозитивних або до грамнегативних груп 500 визн.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Піра-тест (смужки для визначення активності пірролідонілориламідази) 50 визначень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виявлення піролідоніларіламідази. К-ть визн. 50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Цефіксим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для визначення чутливості мікроорганізмів до лікарських засобів – Цефіксим (ЦФК) 5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 для  визначення  чутливості  мікроорганізмів  до лікарських засобів, Цефуроксим (ЦУР) 30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Цефоперазон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для визначення чутливості мікроорганізмів до лікарських засобів – Цефоперазон/сульбактам (ЦФР) 50/50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 для  визначення  чутливості  мікроорганізмів  до лікарських засобів, Цефотаксим (ЦФТ) 30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70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Цефтріаксон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 для  визначення  чутливості  мікроорганізмів  до лікарських засобів, Цефтріаксоном (ЦФА) 30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Амоксиклав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Диски  для  визначення  чутливості  мікроорганізмів  до лікарських засобів, Амоксицилін/клавуланова кислота (Амоксиклав) (АМО) 20/10 мкг, №100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 Мюллера-Хінтона з метиленовим синім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Визначення чутливості до антибіотиків, 250г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Глюкотест №100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Смужки індикаторні для визначення вмісту глюкози у сечі у діапазоні концентрацій: 0.1-2.0 %.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Ацетонтест №50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Смужки індикаторні для визначення кетонових тіл в сечі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34B" w:rsidRPr="00E3634B" w:rsidTr="00F335D7">
        <w:trPr>
          <w:trHeight w:val="269"/>
        </w:trPr>
        <w:tc>
          <w:tcPr>
            <w:tcW w:w="484" w:type="pct"/>
            <w:vAlign w:val="center"/>
          </w:tcPr>
          <w:p w:rsidR="00E3634B" w:rsidRPr="00E3634B" w:rsidRDefault="00E3634B" w:rsidP="00E363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 ІФА для визначення прокальцитоніну</w:t>
            </w:r>
          </w:p>
        </w:tc>
        <w:tc>
          <w:tcPr>
            <w:tcW w:w="1811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Кількісне визначення концентрації Прокальцитоніну в сироватці або плазмі людини за допомогою мікропланшетного ферментного імуноаналізу, колориметричного.</w:t>
            </w:r>
          </w:p>
        </w:tc>
        <w:tc>
          <w:tcPr>
            <w:tcW w:w="400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</w:p>
        </w:tc>
        <w:tc>
          <w:tcPr>
            <w:tcW w:w="404" w:type="pct"/>
            <w:vAlign w:val="center"/>
          </w:tcPr>
          <w:p w:rsidR="00E3634B" w:rsidRPr="00E3634B" w:rsidRDefault="00E3634B" w:rsidP="00E3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634B" w:rsidRPr="00E3634B" w:rsidRDefault="00E3634B" w:rsidP="00E363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DE3F17" w:rsidRPr="005B1A71" w:rsidRDefault="00DE3F17" w:rsidP="00DE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F17" w:rsidRPr="005B1A71" w:rsidRDefault="00DE3F17" w:rsidP="00DE3F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5B1A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Товар  повинен бути обов’язково того ж найменування, аналог або еквівалент предмету закупівлі не пропонувати.</w:t>
      </w:r>
    </w:p>
    <w:p w:rsidR="00DE3F17" w:rsidRPr="005B1A71" w:rsidRDefault="00DE3F17" w:rsidP="00DE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вимоги до продукції:</w:t>
      </w:r>
    </w:p>
    <w:p w:rsidR="00DE3F17" w:rsidRPr="005B1A71" w:rsidRDefault="00DE3F17" w:rsidP="00DE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Усі запропоновані товари повинні бути новими (не бути такими, що вживалися чи експлуатувалися), мати оригінальну упаковку. Товар повинен поставлятися в тарі виробника.</w:t>
      </w:r>
      <w:r w:rsidR="00E91E01" w:rsidRPr="00E91E0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91E01" w:rsidRPr="00F203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Якість всіх матеріалів має бути підтверджена відповідними сертифікатами.</w:t>
      </w: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lastRenderedPageBreak/>
        <w:t>Запропонований Учасником товар повинен відповідати вимогам діючих стандартів.</w:t>
      </w:r>
    </w:p>
    <w:p w:rsidR="00DE3F17" w:rsidRPr="005B1A71" w:rsidRDefault="00DE3F17" w:rsidP="00145D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A71">
        <w:rPr>
          <w:rFonts w:ascii="Times New Roman" w:hAnsi="Times New Roman" w:cs="Times New Roman"/>
          <w:sz w:val="24"/>
          <w:szCs w:val="24"/>
        </w:rPr>
        <w:t>Товар, що не відповідає вимогам якості, за узгодженням Сторін, підлягає поверненню або заміні, терміну усунення недоліків або заміни товару встановлюється 10 календарних днів.</w:t>
      </w:r>
    </w:p>
    <w:p w:rsidR="00DE3F17" w:rsidRPr="005B1A71" w:rsidRDefault="00DE3F17" w:rsidP="0014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Запропонований учасником товар </w:t>
      </w:r>
      <w:r w:rsidRPr="005B1A71">
        <w:rPr>
          <w:rFonts w:ascii="Times New Roman" w:hAnsi="Times New Roman" w:cs="Times New Roman"/>
          <w:sz w:val="24"/>
          <w:szCs w:val="24"/>
        </w:rPr>
        <w:t>за медико-технічними властивостями</w:t>
      </w:r>
      <w:r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повинен відповідати наступним вимогам:</w:t>
      </w:r>
      <w:r w:rsidR="00145D54" w:rsidRPr="005B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</w:t>
      </w:r>
      <w:r w:rsidRPr="005B1A71">
        <w:rPr>
          <w:rFonts w:ascii="Times New Roman" w:hAnsi="Times New Roman" w:cs="Times New Roman"/>
          <w:sz w:val="24"/>
          <w:szCs w:val="24"/>
        </w:rPr>
        <w:t>алишковий термін придатності на момент поставки повинен становити не менше 80% загального терміну його придатності.</w:t>
      </w:r>
    </w:p>
    <w:p w:rsidR="00145D54" w:rsidRPr="005B1A71" w:rsidRDefault="00145D54" w:rsidP="00145D54">
      <w:pPr>
        <w:ind w:left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71">
        <w:rPr>
          <w:rFonts w:ascii="Times New Roman" w:hAnsi="Times New Roman" w:cs="Times New Roman"/>
          <w:b/>
          <w:sz w:val="24"/>
          <w:szCs w:val="24"/>
        </w:rPr>
        <w:t>Інформація про відповідність запропонованих товарів медико-технічним вимогам документації повинна бути підтверджена наступними документами:</w:t>
      </w:r>
    </w:p>
    <w:p w:rsidR="00E3634B" w:rsidRPr="00E3634B" w:rsidRDefault="00E3634B" w:rsidP="00E3634B">
      <w:pPr>
        <w:pStyle w:val="HTML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634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Запропонований учасником товар повинен бути зареєстрованим та дозволеним до застосування в Україні у встановленому законодавством порядку. При поставці товару Учасник повинен надати документи, що підтверджують проведення оцінки відповідності запропонованого товару вимогам технічного регламенту (копія сертифікату, або свідоцтва, або декларації відповідності) та/або іншого документу, який підтверджує, що якість товару відповідає встановленим/зареєстрованим діючим нормативним актам діючого законодавства (державним стандартам (технічним умовам) ДСТУ (надається Гарантійний лист в складі тендерної пропозиції).</w:t>
      </w:r>
    </w:p>
    <w:p w:rsidR="00145D54" w:rsidRPr="005B1A71" w:rsidRDefault="00145D54" w:rsidP="00145D54">
      <w:pPr>
        <w:pStyle w:val="HTM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F17" w:rsidRPr="005B1A71" w:rsidRDefault="00DE3F17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sz w:val="24"/>
          <w:szCs w:val="24"/>
        </w:rPr>
        <w:t xml:space="preserve">Постачання товару здійснюється окремими партіями протягом  2022 року, виходячи </w:t>
      </w:r>
    </w:p>
    <w:p w:rsidR="00DE3F17" w:rsidRPr="005B1A71" w:rsidRDefault="00DE3F17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sz w:val="24"/>
          <w:szCs w:val="24"/>
        </w:rPr>
        <w:t xml:space="preserve">з поточної потреби Замовника, визначеної у відповідній вимозі-замовленню. </w:t>
      </w:r>
    </w:p>
    <w:p w:rsidR="00145D54" w:rsidRPr="005B1A71" w:rsidRDefault="00145D54" w:rsidP="00DE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E2" w:rsidRPr="005B1A71" w:rsidRDefault="00437EE2" w:rsidP="0088438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656F02" w:rsidRPr="005B1A71" w:rsidRDefault="0002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1A71">
        <w:rPr>
          <w:rFonts w:ascii="Times New Roman" w:eastAsia="Times New Roman" w:hAnsi="Times New Roman" w:cs="Times New Roman"/>
          <w:b/>
          <w:i/>
          <w:sz w:val="24"/>
          <w:szCs w:val="24"/>
        </w:rPr>
        <w:t>“Учасник у складі пропозиції повинен надати довідку, що містить технічну специфікацію запропонованого товару за наступною формою:</w:t>
      </w:r>
    </w:p>
    <w:p w:rsidR="00656F02" w:rsidRPr="005B1A71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56F02" w:rsidRPr="005B1A71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fc"/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656F02" w:rsidRPr="005B1A71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 характеристики запропонованого товару</w:t>
            </w:r>
          </w:p>
        </w:tc>
      </w:tr>
      <w:tr w:rsidR="00656F02" w:rsidRPr="005B1A71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6F02" w:rsidRPr="005B1A71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5B1A71" w:rsidRDefault="00656F0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</w:tr>
    </w:tbl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Pr="005B1A71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6F02" w:rsidRPr="005B1A71" w:rsidSect="00D07A53">
      <w:pgSz w:w="11906" w:h="16838"/>
      <w:pgMar w:top="1134" w:right="1416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8B" w:rsidRDefault="000C648B" w:rsidP="00D07A53">
      <w:pPr>
        <w:spacing w:after="0" w:line="240" w:lineRule="auto"/>
      </w:pPr>
      <w:r>
        <w:separator/>
      </w:r>
    </w:p>
  </w:endnote>
  <w:endnote w:type="continuationSeparator" w:id="1">
    <w:p w:rsidR="000C648B" w:rsidRDefault="000C648B" w:rsidP="00D0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8B" w:rsidRDefault="000C648B" w:rsidP="00D07A53">
      <w:pPr>
        <w:spacing w:after="0" w:line="240" w:lineRule="auto"/>
      </w:pPr>
      <w:r>
        <w:separator/>
      </w:r>
    </w:p>
  </w:footnote>
  <w:footnote w:type="continuationSeparator" w:id="1">
    <w:p w:rsidR="000C648B" w:rsidRDefault="000C648B" w:rsidP="00D0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3113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3C6B"/>
    <w:multiLevelType w:val="hybridMultilevel"/>
    <w:tmpl w:val="1CDC911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8F4"/>
    <w:multiLevelType w:val="hybridMultilevel"/>
    <w:tmpl w:val="D83A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B7E62"/>
    <w:multiLevelType w:val="hybridMultilevel"/>
    <w:tmpl w:val="433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B87560"/>
    <w:multiLevelType w:val="hybridMultilevel"/>
    <w:tmpl w:val="641E60E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63061926"/>
    <w:multiLevelType w:val="hybridMultilevel"/>
    <w:tmpl w:val="6CB60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02"/>
    <w:rsid w:val="000208E8"/>
    <w:rsid w:val="000C648B"/>
    <w:rsid w:val="0010002A"/>
    <w:rsid w:val="0011550E"/>
    <w:rsid w:val="001317A1"/>
    <w:rsid w:val="00145D54"/>
    <w:rsid w:val="00175784"/>
    <w:rsid w:val="002836F7"/>
    <w:rsid w:val="002E62B4"/>
    <w:rsid w:val="00316ACC"/>
    <w:rsid w:val="00437EE2"/>
    <w:rsid w:val="005B1A71"/>
    <w:rsid w:val="006550D3"/>
    <w:rsid w:val="00656F02"/>
    <w:rsid w:val="006D125F"/>
    <w:rsid w:val="0088438F"/>
    <w:rsid w:val="009B4BC5"/>
    <w:rsid w:val="009E3C0D"/>
    <w:rsid w:val="00BD72CA"/>
    <w:rsid w:val="00C11D53"/>
    <w:rsid w:val="00D07A53"/>
    <w:rsid w:val="00D20C58"/>
    <w:rsid w:val="00D61120"/>
    <w:rsid w:val="00DE3F17"/>
    <w:rsid w:val="00E21C0D"/>
    <w:rsid w:val="00E3634B"/>
    <w:rsid w:val="00E43C5B"/>
    <w:rsid w:val="00E733F6"/>
    <w:rsid w:val="00E91E01"/>
    <w:rsid w:val="00F3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10"/>
    <w:next w:val="10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">
    <w:name w:val="Стандартный HTML Знак"/>
    <w:aliases w:val="Знак2 Знак,Знак9 Знак"/>
    <w:link w:val="HTML0"/>
    <w:uiPriority w:val="99"/>
    <w:locked/>
    <w:rsid w:val="00DE3F17"/>
    <w:rPr>
      <w:rFonts w:ascii="Courier New" w:hAnsi="Courier New" w:cs="Courier New"/>
      <w:lang w:eastAsia="ar-SA"/>
    </w:rPr>
  </w:style>
  <w:style w:type="paragraph" w:styleId="HTML0">
    <w:name w:val="HTML Preformatted"/>
    <w:aliases w:val="Знак2,Знак9"/>
    <w:basedOn w:val="a"/>
    <w:link w:val="HTML"/>
    <w:uiPriority w:val="99"/>
    <w:qFormat/>
    <w:rsid w:val="00DE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E3F17"/>
    <w:rPr>
      <w:rFonts w:ascii="Consolas" w:hAnsi="Consolas"/>
      <w:sz w:val="20"/>
      <w:szCs w:val="20"/>
    </w:rPr>
  </w:style>
  <w:style w:type="paragraph" w:customStyle="1" w:styleId="12">
    <w:name w:val="Абзац списка1"/>
    <w:basedOn w:val="a"/>
    <w:rsid w:val="00145D54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hps">
    <w:name w:val="hps"/>
    <w:basedOn w:val="a0"/>
    <w:rsid w:val="00D0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10"/>
    <w:next w:val="10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">
    <w:name w:val="Стандартный HTML Знак"/>
    <w:aliases w:val="Знак2 Знак,Знак9 Знак"/>
    <w:link w:val="HTML0"/>
    <w:uiPriority w:val="99"/>
    <w:locked/>
    <w:rsid w:val="00DE3F17"/>
    <w:rPr>
      <w:rFonts w:ascii="Courier New" w:hAnsi="Courier New" w:cs="Courier New"/>
      <w:lang w:eastAsia="ar-SA"/>
    </w:rPr>
  </w:style>
  <w:style w:type="paragraph" w:styleId="HTML0">
    <w:name w:val="HTML Preformatted"/>
    <w:aliases w:val="Знак2,Знак9"/>
    <w:basedOn w:val="a"/>
    <w:link w:val="HTML"/>
    <w:uiPriority w:val="99"/>
    <w:qFormat/>
    <w:rsid w:val="00DE3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E3F17"/>
    <w:rPr>
      <w:rFonts w:ascii="Consolas" w:hAnsi="Consolas"/>
      <w:sz w:val="20"/>
      <w:szCs w:val="20"/>
    </w:rPr>
  </w:style>
  <w:style w:type="paragraph" w:customStyle="1" w:styleId="12">
    <w:name w:val="Абзац списка1"/>
    <w:basedOn w:val="a"/>
    <w:rsid w:val="00145D54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D3FE6FA0-59F0-4618-A672-D1EE6F0FC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4640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3</cp:revision>
  <dcterms:created xsi:type="dcterms:W3CDTF">2022-09-30T08:28:00Z</dcterms:created>
  <dcterms:modified xsi:type="dcterms:W3CDTF">2022-09-30T09:07:00Z</dcterms:modified>
</cp:coreProperties>
</file>