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u w:val="single"/>
        </w:rPr>
      </w:pPr>
      <w:r>
        <w:rPr>
          <w:sz w:val="26"/>
          <w:szCs w:val="26"/>
        </w:rPr>
        <w:t xml:space="preserve"> </w:t>
      </w:r>
      <w:r>
        <w:rPr>
          <w:b/>
          <w:i/>
          <w:u w:val="single"/>
        </w:rPr>
        <w:t xml:space="preserve">Додаток № 1 </w:t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righ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Технічні (якісні), кількісні вимоги до товару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bCs/>
          <w:lang w:val="ru-RU"/>
        </w:rPr>
      </w:pPr>
      <w:r>
        <w:rPr>
          <w:b/>
          <w:bCs/>
        </w:rPr>
        <w:t xml:space="preserve">Єдиний закупівельний словник ДК 021:2015 - </w:t>
      </w:r>
      <w:r>
        <w:rPr>
          <w:b/>
          <w:bCs/>
          <w:lang w:val="ru-RU"/>
        </w:rPr>
        <w:t>15980000-1 - Безалкогольні напої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(вода мінеральна).</w:t>
      </w:r>
    </w:p>
    <w:p>
      <w:pPr>
        <w:pStyle w:val="Normal"/>
        <w:suppressLineNumbers/>
        <w:tabs>
          <w:tab w:val="left" w:pos="-180" w:leader="none"/>
          <w:tab w:val="left" w:pos="540" w:leader="none"/>
        </w:tabs>
        <w:ind w:left="-18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</w:rPr>
        <w:t>Технічні вимоги до товару:</w:t>
      </w:r>
      <w:r>
        <w:rPr/>
        <w:t xml:space="preserve"> </w:t>
      </w:r>
    </w:p>
    <w:p>
      <w:pPr>
        <w:pStyle w:val="Normal"/>
        <w:rPr/>
      </w:pPr>
      <w:r>
        <w:rPr/>
        <w:t>1. Якість товару повинна відповідати встановленим/зареєстрованим:</w:t>
      </w:r>
    </w:p>
    <w:p>
      <w:pPr>
        <w:pStyle w:val="Normal"/>
        <w:rPr/>
      </w:pPr>
      <w:r>
        <w:rPr/>
        <w:t>- діючим державним стандартам;</w:t>
      </w:r>
    </w:p>
    <w:p>
      <w:pPr>
        <w:pStyle w:val="Normal"/>
        <w:rPr/>
      </w:pPr>
      <w:r>
        <w:rPr/>
        <w:t>- медико- технічним вимогам;</w:t>
      </w:r>
    </w:p>
    <w:p>
      <w:pPr>
        <w:pStyle w:val="Normal"/>
        <w:rPr/>
      </w:pPr>
      <w:r>
        <w:rPr/>
        <w:t>- вимогам санітарного законодавства України;</w:t>
      </w:r>
    </w:p>
    <w:p>
      <w:pPr>
        <w:pStyle w:val="Normal"/>
        <w:rPr/>
      </w:pPr>
      <w:r>
        <w:rPr/>
        <w:t>- ТУ виробника;</w:t>
      </w:r>
    </w:p>
    <w:p>
      <w:pPr>
        <w:pStyle w:val="Normal"/>
        <w:rPr/>
      </w:pPr>
      <w:r>
        <w:rPr/>
        <w:t>2.  Продукція повинна мати посвідчення якості виробника на кожну партію товару (сертифікат відповідності);</w:t>
      </w:r>
    </w:p>
    <w:p>
      <w:pPr>
        <w:pStyle w:val="Normal"/>
        <w:rPr/>
      </w:pPr>
      <w:r>
        <w:rPr/>
        <w:t>3. Відповідальність за безпеку і якість продуктів харчування та продовольчої сировини покладається на постачальника відповідно до Закону України " Про основні принципи та вимоги до безпечності та якості харчових продуктів";</w:t>
      </w:r>
    </w:p>
    <w:p>
      <w:pPr>
        <w:pStyle w:val="Normal"/>
        <w:rPr/>
      </w:pPr>
      <w:r>
        <w:rPr/>
        <w:t xml:space="preserve">4. Доставка товару здійснюється за адресою: вул. Мазепи,12, м. Червоноград  </w:t>
      </w:r>
    </w:p>
    <w:p>
      <w:pPr>
        <w:pStyle w:val="Normal"/>
        <w:rPr/>
      </w:pPr>
      <w:r>
        <w:rPr/>
        <w:t>5. В разі виявлення неякісного товару під час отримання товару постачальник зобов</w:t>
      </w:r>
      <w:r>
        <w:rPr>
          <w:lang w:val="ru-RU"/>
        </w:rPr>
        <w:t>'</w:t>
      </w:r>
      <w:r>
        <w:rPr/>
        <w:t>язаний замінити цей товар на якісний.</w:t>
      </w:r>
    </w:p>
    <w:p>
      <w:pPr>
        <w:pStyle w:val="Normal"/>
        <w:rPr>
          <w:lang w:val="ru-RU"/>
        </w:rPr>
      </w:pPr>
      <w:r>
        <w:rPr/>
        <w:t>6. Строк придатності товару на момент поставки повинен становити не менше 90% від загального терміну зберігання.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/>
        <w:t>Товар має поставлятися окремими партіями з  дня підписання договору  до 31 грудня 202</w:t>
      </w:r>
      <w:r>
        <w:rPr>
          <w:lang w:val="ru-RU"/>
        </w:rPr>
        <w:t>2</w:t>
      </w:r>
      <w:r>
        <w:rPr/>
        <w:t xml:space="preserve"> року протягом трьох календарних днів з моменту отримання усної чи письмової заявки Покупця.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libri" w:hAnsi="Calibri"/>
          <w:color w:val="000000"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rFonts w:ascii="Calibri" w:hAnsi="Calibri"/>
          <w:color w:val="000000"/>
          <w:lang w:val="ru-RU" w:eastAsia="ru-RU"/>
        </w:rPr>
        <w:t>Технічні та кількісні умови до води мінеральної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68" w:type="dxa"/>
        <w:jc w:val="left"/>
        <w:tblInd w:w="8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0"/>
        <w:gridCol w:w="1214"/>
        <w:gridCol w:w="1174"/>
        <w:gridCol w:w="1341"/>
        <w:gridCol w:w="1896"/>
        <w:gridCol w:w="1362"/>
      </w:tblGrid>
      <w:tr>
        <w:trPr>
          <w:trHeight w:val="315" w:hRule="exact"/>
        </w:trPr>
        <w:tc>
          <w:tcPr>
            <w:tcW w:w="449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174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341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896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  <w:tc>
          <w:tcPr>
            <w:tcW w:w="1362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975" w:hRule="atLeast"/>
        </w:trPr>
        <w:tc>
          <w:tcPr>
            <w:tcW w:w="3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Назва продукту</w:t>
            </w:r>
          </w:p>
        </w:tc>
        <w:tc>
          <w:tcPr>
            <w:tcW w:w="12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Кількість пляшок</w:t>
            </w:r>
          </w:p>
        </w:tc>
        <w:tc>
          <w:tcPr>
            <w:tcW w:w="117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формат пляшки</w:t>
            </w:r>
          </w:p>
        </w:tc>
        <w:tc>
          <w:tcPr>
            <w:tcW w:w="134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термін зберігання</w:t>
            </w:r>
          </w:p>
        </w:tc>
        <w:tc>
          <w:tcPr>
            <w:tcW w:w="189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Мінералізація, г/дм3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вміст сухих речовин</w:t>
            </w:r>
          </w:p>
        </w:tc>
      </w:tr>
      <w:tr>
        <w:trPr>
          <w:trHeight w:val="315" w:hRule="atLeast"/>
        </w:trPr>
        <w:tc>
          <w:tcPr>
            <w:tcW w:w="32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"</w:t>
            </w:r>
            <w:r>
              <w:rPr>
                <w:rFonts w:ascii="Calibri" w:hAnsi="Calibri"/>
                <w:i/>
                <w:iCs/>
                <w:color w:val="000000"/>
                <w:lang w:val="uk-UA" w:eastAsia="ru-RU"/>
              </w:rPr>
              <w:t>Боржомі” газована 0,5л.</w:t>
            </w:r>
          </w:p>
        </w:tc>
        <w:tc>
          <w:tcPr>
            <w:tcW w:w="12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  </w:t>
            </w:r>
            <w:r>
              <w:rPr>
                <w:rFonts w:ascii="Calibri" w:hAnsi="Calibri"/>
                <w:i/>
                <w:iCs/>
                <w:color w:val="000000"/>
                <w:lang w:val="uk-UA" w:eastAsia="ru-RU"/>
              </w:rPr>
              <w:t>180</w:t>
            </w: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/>
            </w:pPr>
            <w:r>
              <w:rPr>
                <w:rFonts w:ascii="Calibri" w:hAnsi="Calibri"/>
                <w:color w:val="000000"/>
                <w:lang w:val="uk-UA" w:eastAsia="ru-RU"/>
              </w:rPr>
              <w:t>Скло 0,5л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 діб</w:t>
            </w:r>
          </w:p>
        </w:tc>
        <w:tc>
          <w:tcPr>
            <w:tcW w:w="18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0,1-0,3%</w:t>
            </w:r>
          </w:p>
        </w:tc>
        <w:tc>
          <w:tcPr>
            <w:tcW w:w="13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32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Моршинська" газована</w:t>
            </w:r>
          </w:p>
        </w:tc>
        <w:tc>
          <w:tcPr>
            <w:tcW w:w="12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   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260</w:t>
            </w: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34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 діб</w:t>
            </w:r>
          </w:p>
        </w:tc>
        <w:tc>
          <w:tcPr>
            <w:tcW w:w="189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0,1-0,3%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32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Моршинська"слабо газована</w:t>
            </w:r>
          </w:p>
        </w:tc>
        <w:tc>
          <w:tcPr>
            <w:tcW w:w="12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   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260</w:t>
            </w: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34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 діб</w:t>
            </w:r>
          </w:p>
        </w:tc>
        <w:tc>
          <w:tcPr>
            <w:tcW w:w="189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0,1-0,3%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немає</w:t>
            </w:r>
          </w:p>
        </w:tc>
      </w:tr>
      <w:tr>
        <w:trPr>
          <w:trHeight w:val="315" w:hRule="atLeast"/>
        </w:trPr>
        <w:tc>
          <w:tcPr>
            <w:tcW w:w="32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Моршинська" негазована</w:t>
            </w:r>
          </w:p>
        </w:tc>
        <w:tc>
          <w:tcPr>
            <w:tcW w:w="12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   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260</w:t>
            </w: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341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 діб</w:t>
            </w:r>
          </w:p>
        </w:tc>
        <w:tc>
          <w:tcPr>
            <w:tcW w:w="1896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0,1-0,3%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немає</w:t>
            </w:r>
          </w:p>
        </w:tc>
      </w:tr>
      <w:tr>
        <w:trPr>
          <w:trHeight w:val="300" w:hRule="atLeast"/>
        </w:trPr>
        <w:tc>
          <w:tcPr>
            <w:tcW w:w="32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Вода  " Трускавецька" газована</w:t>
            </w:r>
          </w:p>
        </w:tc>
        <w:tc>
          <w:tcPr>
            <w:tcW w:w="12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i/>
                <w:i/>
                <w:iCs/>
                <w:color w:val="000000"/>
                <w:lang w:val="ru-RU" w:eastAsia="ru-RU"/>
              </w:rPr>
            </w:pP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 xml:space="preserve">    </w:t>
            </w:r>
            <w:r>
              <w:rPr>
                <w:rFonts w:ascii="Calibri" w:hAnsi="Calibri"/>
                <w:i/>
                <w:iCs/>
                <w:color w:val="000000"/>
                <w:lang w:val="ru-RU" w:eastAsia="ru-RU"/>
              </w:rPr>
              <w:t>280</w:t>
            </w: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ПЕТ 1,5л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180 діб</w:t>
            </w:r>
          </w:p>
        </w:tc>
        <w:tc>
          <w:tcPr>
            <w:tcW w:w="18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0,3-0,4%</w:t>
            </w:r>
          </w:p>
        </w:tc>
        <w:tc>
          <w:tcPr>
            <w:tcW w:w="136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  <w:t>немає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0" w:type="dxa"/>
        <w:jc w:val="left"/>
        <w:tblInd w:w="8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"/>
      </w:tblGrid>
      <w:tr>
        <w:trPr>
          <w:trHeight w:val="615" w:hRule="exac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59" w:before="0" w:after="160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  <w:tr>
        <w:trPr>
          <w:trHeight w:val="615" w:hRule="exact"/>
        </w:trPr>
        <w:tc>
          <w:tcPr>
            <w:tcW w:w="960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val="ru-RU" w:eastAsia="ru-RU"/>
              </w:rPr>
            </w:pPr>
            <w:r>
              <w:rPr>
                <w:rFonts w:ascii="Calibri" w:hAnsi="Calibri"/>
                <w:color w:val="000000"/>
                <w:lang w:val="ru-RU" w:eastAsia="ru-RU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850" w:header="0" w:top="53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5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3">
    <w:name w:val="Heading 3"/>
    <w:basedOn w:val="Normal"/>
    <w:link w:val="30"/>
    <w:qFormat/>
    <w:rsid w:val="00ca25a0"/>
    <w:pPr>
      <w:tabs>
        <w:tab w:val="left" w:pos="0" w:leader="none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ca25a0"/>
    <w:rPr>
      <w:rFonts w:ascii="Times New Roman" w:hAnsi="Times New Roman" w:eastAsia="Times New Roman" w:cs="Times New Roman"/>
      <w:b/>
      <w:bCs/>
      <w:sz w:val="27"/>
      <w:szCs w:val="27"/>
      <w:lang w:val="uk-UA"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ca25a0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a25a0"/>
    <w:rPr>
      <w:rFonts w:ascii="Courier New" w:hAnsi="Courier New" w:eastAsia="Calibri" w:cs="Courier New"/>
      <w:sz w:val="20"/>
      <w:szCs w:val="20"/>
      <w:lang w:eastAsia="zh-CN"/>
    </w:rPr>
  </w:style>
  <w:style w:type="character" w:styleId="Style14">
    <w:name w:val="Интернет-ссылка"/>
    <w:basedOn w:val="DefaultParagraphFont"/>
    <w:uiPriority w:val="99"/>
    <w:semiHidden/>
    <w:unhideWhenUsed/>
    <w:rsid w:val="00f822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ae9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b212e"/>
    <w:rPr>
      <w:color w:val="808080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da752d"/>
    <w:rPr>
      <w:rFonts w:ascii="Tahoma" w:hAnsi="Tahoma" w:eastAsia="Times New Roman" w:cs="Tahoma"/>
      <w:sz w:val="16"/>
      <w:szCs w:val="16"/>
      <w:lang w:val="uk-UA" w:eastAsia="zh-CN"/>
    </w:rPr>
  </w:style>
  <w:style w:type="character" w:styleId="Style16" w:customStyle="1">
    <w:name w:val="Абзац списка Знак"/>
    <w:link w:val="aa"/>
    <w:uiPriority w:val="99"/>
    <w:qFormat/>
    <w:locked/>
    <w:rsid w:val="00f76e68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ListLabel1">
    <w:name w:val="ListLabel 1"/>
    <w:qFormat/>
    <w:rPr>
      <w:rFonts w:cs="Symbol"/>
      <w:sz w:val="26"/>
      <w:szCs w:val="26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Times New Roman"/>
      <w:b w:val="false"/>
      <w:bCs w:val="false"/>
      <w:sz w:val="24"/>
      <w:szCs w:val="24"/>
    </w:rPr>
  </w:style>
  <w:style w:type="character" w:styleId="ListLabel17">
    <w:name w:val="ListLabel 17"/>
    <w:qFormat/>
    <w:rPr>
      <w:rFonts w:cs="Times New Roman"/>
      <w:b w:val="false"/>
      <w:bCs w:val="false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rsid w:val="00ca25a0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ca25a0"/>
    <w:pPr>
      <w:spacing w:before="280" w:after="280"/>
    </w:pPr>
    <w:rPr/>
  </w:style>
  <w:style w:type="paragraph" w:styleId="HTMLPreformatted">
    <w:name w:val="HTML Preformatted"/>
    <w:basedOn w:val="Normal"/>
    <w:link w:val="HTML0"/>
    <w:uiPriority w:val="99"/>
    <w:qFormat/>
    <w:rsid w:val="00ca25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  <w:lang w:val="ru-RU"/>
    </w:rPr>
  </w:style>
  <w:style w:type="paragraph" w:styleId="Style22" w:customStyle="1">
    <w:name w:val="Содержимое таблицы"/>
    <w:basedOn w:val="Normal"/>
    <w:qFormat/>
    <w:rsid w:val="00ca25a0"/>
    <w:pPr>
      <w:suppressLineNumbers/>
    </w:pPr>
    <w:rPr/>
  </w:style>
  <w:style w:type="paragraph" w:styleId="Docdata" w:customStyle="1">
    <w:name w:val="docdata"/>
    <w:basedOn w:val="Normal"/>
    <w:qFormat/>
    <w:rsid w:val="00ee1c84"/>
    <w:pPr>
      <w:suppressAutoHyphens w:val="false"/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link w:val="ab"/>
    <w:uiPriority w:val="99"/>
    <w:qFormat/>
    <w:rsid w:val="008552f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da752d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f76e68"/>
    <w:pPr>
      <w:widowControl w:val="false"/>
      <w:suppressAutoHyphens w:val="false"/>
    </w:pPr>
    <w:rPr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FA23-3E44-46BD-87C1-0D9A2EA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LibreOffice/6.0.2.1$Windows_x86 LibreOffice_project/f7f06a8f319e4b62f9bc5095aa112a65d2f3ac89</Application>
  <Pages>1</Pages>
  <Words>234</Words>
  <Characters>1433</Characters>
  <CharactersWithSpaces>1711</CharactersWithSpaces>
  <Paragraphs>53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2020-05-12T08:25:00Z</dcterms:created>
  <dc:creator>User</dc:creator>
  <dc:description/>
  <dc:language>uk-UA</dc:language>
  <cp:lastModifiedBy/>
  <cp:lastPrinted>2020-05-20T11:35:00Z</cp:lastPrinted>
  <dcterms:modified xsi:type="dcterms:W3CDTF">2022-04-27T08:54:40Z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