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151693">
              <w:rPr>
                <w:rFonts w:ascii="Times New Roman" w:hAnsi="Times New Roman"/>
                <w:b/>
                <w:lang w:val="ru-RU"/>
              </w:rPr>
              <w:t>06</w:t>
            </w:r>
            <w:r w:rsidR="00645586">
              <w:rPr>
                <w:rFonts w:ascii="Times New Roman" w:hAnsi="Times New Roman"/>
                <w:b/>
              </w:rPr>
              <w:t>»</w:t>
            </w:r>
            <w:r w:rsidR="0022150D">
              <w:rPr>
                <w:rFonts w:ascii="Times New Roman" w:hAnsi="Times New Roman"/>
                <w:b/>
              </w:rPr>
              <w:t xml:space="preserve"> </w:t>
            </w:r>
            <w:r w:rsidR="00151693">
              <w:rPr>
                <w:rFonts w:ascii="Times New Roman" w:hAnsi="Times New Roman"/>
                <w:b/>
              </w:rPr>
              <w:t>березня</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560241" w:rsidP="00263EC4">
            <w:pPr>
              <w:spacing w:after="0" w:line="264" w:lineRule="auto"/>
              <w:rPr>
                <w:rFonts w:ascii="Times New Roman" w:hAnsi="Times New Roman"/>
                <w:b/>
              </w:rPr>
            </w:pPr>
            <w:proofErr w:type="spellStart"/>
            <w:r>
              <w:rPr>
                <w:rFonts w:ascii="Times New Roman" w:hAnsi="Times New Roman"/>
                <w:b/>
              </w:rPr>
              <w:t>Орендарчук-Салєєва</w:t>
            </w:r>
            <w:proofErr w:type="spellEnd"/>
            <w:r>
              <w:rPr>
                <w:rFonts w:ascii="Times New Roman" w:hAnsi="Times New Roman"/>
                <w:b/>
              </w:rPr>
              <w:t xml:space="preserve"> Л.М.</w:t>
            </w:r>
          </w:p>
          <w:p w:rsidR="008D2C4C" w:rsidRPr="00F03A5B" w:rsidRDefault="00F03A5B" w:rsidP="00263EC4">
            <w:pPr>
              <w:spacing w:after="0" w:line="264" w:lineRule="auto"/>
              <w:rPr>
                <w:rFonts w:ascii="Times New Roman" w:hAnsi="Times New Roman"/>
                <w:bCs/>
                <w:i/>
              </w:rPr>
            </w:pPr>
            <w:r w:rsidRPr="00F03A5B">
              <w:rPr>
                <w:rFonts w:ascii="Times New Roman" w:hAnsi="Times New Roman"/>
                <w:bCs/>
                <w:i/>
              </w:rPr>
              <w:t>(зі змінами від 14.03.2024 року)</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DC7F9B" w:rsidRDefault="00151693" w:rsidP="008D2C4C">
      <w:pPr>
        <w:spacing w:before="240" w:after="0" w:line="240" w:lineRule="auto"/>
        <w:jc w:val="center"/>
        <w:rPr>
          <w:rFonts w:ascii="Times New Roman" w:eastAsia="Times New Roman" w:hAnsi="Times New Roman"/>
          <w:b/>
          <w:sz w:val="24"/>
          <w:szCs w:val="24"/>
        </w:rPr>
      </w:pPr>
      <w:r w:rsidRPr="00151693">
        <w:rPr>
          <w:rFonts w:ascii="Times New Roman" w:hAnsi="Times New Roman" w:cs="Times New Roman"/>
          <w:b/>
          <w:sz w:val="32"/>
          <w:szCs w:val="32"/>
          <w:lang w:eastAsia="en-US"/>
        </w:rPr>
        <w:t>Сталь листова згідно до ДК 021:2015 44170000-2 Плити, листи, стрічки та фольга, пов’язані з конструкційними матеріалами</w:t>
      </w: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407598" w:rsidRDefault="00407598">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41"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75"/>
        <w:gridCol w:w="6680"/>
      </w:tblGrid>
      <w:tr w:rsidR="00466315" w:rsidTr="005B4D05">
        <w:trPr>
          <w:trHeight w:val="416"/>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5B4D05">
        <w:trPr>
          <w:trHeight w:val="411"/>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5B4D05">
        <w:trPr>
          <w:trHeight w:val="6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5B4D05">
        <w:trPr>
          <w:trHeight w:val="28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5B4D05">
        <w:trPr>
          <w:trHeight w:val="536"/>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766F8" w:rsidRPr="0044206E" w:rsidRDefault="001D64BE" w:rsidP="002765C0">
            <w:pPr>
              <w:widowControl w:val="0"/>
              <w:autoSpaceDE w:val="0"/>
              <w:autoSpaceDN w:val="0"/>
              <w:spacing w:line="264" w:lineRule="auto"/>
              <w:rPr>
                <w:rFonts w:ascii="Times New Roman" w:hAnsi="Times New Roman" w:cs="Times New Roman"/>
                <w:sz w:val="24"/>
                <w:szCs w:val="24"/>
              </w:rPr>
            </w:pPr>
            <w:proofErr w:type="spellStart"/>
            <w:r>
              <w:rPr>
                <w:rFonts w:ascii="Times New Roman" w:hAnsi="Times New Roman"/>
                <w:b/>
              </w:rPr>
              <w:t>Орендарчук-Салєєва</w:t>
            </w:r>
            <w:proofErr w:type="spellEnd"/>
            <w:r>
              <w:rPr>
                <w:rFonts w:ascii="Times New Roman" w:hAnsi="Times New Roman"/>
                <w:b/>
              </w:rPr>
              <w:t xml:space="preserve"> Л.М. </w:t>
            </w:r>
            <w:r w:rsidR="002765C0">
              <w:rPr>
                <w:rFonts w:ascii="Times New Roman" w:hAnsi="Times New Roman" w:cs="Times New Roman"/>
                <w:sz w:val="24"/>
                <w:szCs w:val="24"/>
              </w:rPr>
              <w:t>–</w:t>
            </w:r>
            <w:r w:rsidR="009E3323" w:rsidRPr="0044206E">
              <w:rPr>
                <w:rFonts w:ascii="Times New Roman" w:hAnsi="Times New Roman" w:cs="Times New Roman"/>
                <w:sz w:val="24"/>
                <w:szCs w:val="24"/>
              </w:rPr>
              <w:t xml:space="preserve"> </w:t>
            </w:r>
            <w:r w:rsidR="002765C0">
              <w:rPr>
                <w:rFonts w:ascii="Times New Roman" w:hAnsi="Times New Roman" w:cs="Times New Roman"/>
                <w:sz w:val="24"/>
                <w:szCs w:val="24"/>
              </w:rPr>
              <w:t xml:space="preserve">провідний </w:t>
            </w:r>
            <w:r w:rsidR="008766F8" w:rsidRPr="0044206E">
              <w:rPr>
                <w:rFonts w:ascii="Times New Roman" w:hAnsi="Times New Roman" w:cs="Times New Roman"/>
                <w:sz w:val="24"/>
                <w:szCs w:val="24"/>
              </w:rPr>
              <w:t xml:space="preserve">фахівець відділу публічних закупівель, уповноважена особа КП «ОМЕТ», </w:t>
            </w:r>
          </w:p>
          <w:p w:rsidR="00466315" w:rsidRDefault="008766F8" w:rsidP="002765C0">
            <w:pPr>
              <w:rPr>
                <w:rFonts w:ascii="Times New Roman" w:eastAsia="Times New Roman" w:hAnsi="Times New Roman" w:cs="Times New Roman"/>
                <w:i/>
                <w:color w:val="FF0000"/>
                <w:sz w:val="24"/>
                <w:szCs w:val="24"/>
                <w:highlight w:val="yellow"/>
              </w:rPr>
            </w:pPr>
            <w:r w:rsidRPr="0044206E">
              <w:rPr>
                <w:rFonts w:ascii="Times New Roman" w:hAnsi="Times New Roman" w:cs="Times New Roman"/>
                <w:sz w:val="24"/>
                <w:szCs w:val="24"/>
                <w:lang w:eastAsia="zh-CN"/>
              </w:rPr>
              <w:t>e-</w:t>
            </w:r>
            <w:proofErr w:type="spellStart"/>
            <w:r w:rsidRPr="0044206E">
              <w:rPr>
                <w:rFonts w:ascii="Times New Roman" w:hAnsi="Times New Roman" w:cs="Times New Roman"/>
                <w:sz w:val="24"/>
                <w:szCs w:val="24"/>
                <w:lang w:eastAsia="zh-CN"/>
              </w:rPr>
              <w:t>mail</w:t>
            </w:r>
            <w:proofErr w:type="spellEnd"/>
            <w:r w:rsidRPr="0044206E">
              <w:rPr>
                <w:rFonts w:ascii="Times New Roman" w:hAnsi="Times New Roman" w:cs="Times New Roman"/>
                <w:sz w:val="24"/>
                <w:szCs w:val="24"/>
                <w:lang w:eastAsia="zh-CN"/>
              </w:rPr>
              <w:t xml:space="preserve">: </w:t>
            </w:r>
            <w:r w:rsidR="00AB2D60" w:rsidRPr="00AB2D60">
              <w:rPr>
                <w:rFonts w:ascii="Times New Roman" w:hAnsi="Times New Roman" w:cs="Times New Roman"/>
                <w:color w:val="1F1F1F"/>
                <w:sz w:val="24"/>
                <w:szCs w:val="24"/>
                <w:shd w:val="clear" w:color="auto" w:fill="FFFFFF" w:themeFill="background1"/>
              </w:rPr>
              <w:t>kpometzakupivli7@gmail.com</w:t>
            </w:r>
            <w:r w:rsidRPr="0044206E">
              <w:rPr>
                <w:rFonts w:ascii="Times New Roman" w:hAnsi="Times New Roman" w:cs="Times New Roman"/>
                <w:sz w:val="24"/>
                <w:szCs w:val="24"/>
                <w:shd w:val="clear" w:color="auto" w:fill="FFFFFF" w:themeFill="background1"/>
                <w:lang w:eastAsia="zh-CN"/>
              </w:rPr>
              <w:t>,</w:t>
            </w:r>
            <w:r w:rsidRPr="0044206E">
              <w:rPr>
                <w:rFonts w:ascii="Times New Roman" w:hAnsi="Times New Roman" w:cs="Times New Roman"/>
                <w:sz w:val="24"/>
                <w:szCs w:val="24"/>
                <w:lang w:eastAsia="zh-CN"/>
              </w:rPr>
              <w:t xml:space="preserve"> (048) 717-54-67</w:t>
            </w:r>
          </w:p>
        </w:tc>
      </w:tr>
      <w:tr w:rsidR="00466315" w:rsidTr="005B4D05">
        <w:trPr>
          <w:trHeight w:val="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5B4D05">
        <w:trPr>
          <w:trHeight w:val="240"/>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5B4D05">
        <w:trPr>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6B6038">
            <w:pPr>
              <w:jc w:val="both"/>
              <w:rPr>
                <w:rFonts w:ascii="Times New Roman" w:eastAsia="Times New Roman" w:hAnsi="Times New Roman" w:cs="Times New Roman"/>
                <w:b/>
                <w:i/>
                <w:sz w:val="24"/>
                <w:szCs w:val="24"/>
              </w:rPr>
            </w:pPr>
            <w:r w:rsidRPr="006B6038">
              <w:rPr>
                <w:rFonts w:ascii="Times New Roman" w:eastAsia="Tahoma" w:hAnsi="Times New Roman" w:cs="Times New Roman"/>
                <w:b/>
                <w:bCs/>
                <w:sz w:val="24"/>
                <w:szCs w:val="24"/>
              </w:rPr>
              <w:t>Сталь листова згідно до ДК 021:2015 44170000-2 Плити, листи, стрічки та фольга, пов’язані з конструкційними матеріалами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B4D05">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173" w:type="dxa"/>
              <w:tblLayout w:type="fixed"/>
              <w:tblLook w:val="0000" w:firstRow="0" w:lastRow="0" w:firstColumn="0" w:lastColumn="0" w:noHBand="0" w:noVBand="0"/>
            </w:tblPr>
            <w:tblGrid>
              <w:gridCol w:w="567"/>
              <w:gridCol w:w="2836"/>
              <w:gridCol w:w="607"/>
              <w:gridCol w:w="1163"/>
            </w:tblGrid>
            <w:tr w:rsidR="006B6038" w:rsidRPr="005E2936" w:rsidTr="006B6038">
              <w:trPr>
                <w:trHeight w:val="685"/>
              </w:trPr>
              <w:tc>
                <w:tcPr>
                  <w:tcW w:w="567" w:type="dxa"/>
                  <w:tcBorders>
                    <w:top w:val="single" w:sz="4" w:space="0" w:color="auto"/>
                    <w:left w:val="single" w:sz="4" w:space="0" w:color="auto"/>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 п/п</w:t>
                  </w:r>
                </w:p>
              </w:tc>
              <w:tc>
                <w:tcPr>
                  <w:tcW w:w="2836" w:type="dxa"/>
                  <w:tcBorders>
                    <w:top w:val="single" w:sz="4" w:space="0" w:color="auto"/>
                    <w:left w:val="nil"/>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Найменування</w:t>
                  </w:r>
                </w:p>
              </w:tc>
              <w:tc>
                <w:tcPr>
                  <w:tcW w:w="607" w:type="dxa"/>
                  <w:tcBorders>
                    <w:top w:val="single" w:sz="4" w:space="0" w:color="auto"/>
                    <w:left w:val="nil"/>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 xml:space="preserve">Од. </w:t>
                  </w:r>
                  <w:proofErr w:type="spellStart"/>
                  <w:r w:rsidRPr="005E2936">
                    <w:rPr>
                      <w:rFonts w:ascii="Times New Roman" w:hAnsi="Times New Roman" w:cs="Times New Roman"/>
                      <w:b/>
                      <w:bCs/>
                      <w:color w:val="000000"/>
                      <w:sz w:val="20"/>
                      <w:szCs w:val="20"/>
                    </w:rPr>
                    <w:t>вим</w:t>
                  </w:r>
                  <w:proofErr w:type="spellEnd"/>
                </w:p>
              </w:tc>
              <w:tc>
                <w:tcPr>
                  <w:tcW w:w="1163" w:type="dxa"/>
                  <w:tcBorders>
                    <w:top w:val="single" w:sz="4" w:space="0" w:color="auto"/>
                    <w:left w:val="nil"/>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К</w:t>
                  </w:r>
                  <w:r>
                    <w:rPr>
                      <w:rFonts w:ascii="Times New Roman" w:hAnsi="Times New Roman" w:cs="Times New Roman"/>
                      <w:b/>
                      <w:bCs/>
                      <w:color w:val="000000"/>
                      <w:sz w:val="20"/>
                      <w:szCs w:val="20"/>
                    </w:rPr>
                    <w:t>-сть</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sz w:val="20"/>
                      <w:szCs w:val="20"/>
                    </w:rPr>
                  </w:pPr>
                  <w:r w:rsidRPr="005E2936">
                    <w:rPr>
                      <w:rFonts w:ascii="Times New Roman" w:hAnsi="Times New Roman" w:cs="Times New Roman"/>
                      <w:sz w:val="20"/>
                      <w:szCs w:val="20"/>
                    </w:rPr>
                    <w:t>1</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х/к 1,0мм 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1250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485C75">
                    <w:rPr>
                      <w:rFonts w:ascii="Times New Roman" w:hAnsi="Times New Roman" w:cs="Times New Roman"/>
                      <w:sz w:val="20"/>
                      <w:szCs w:val="20"/>
                    </w:rPr>
                    <w:t>Лист х/к 1,2мм 1500х3000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1500</w:t>
                  </w:r>
                </w:p>
              </w:tc>
            </w:tr>
            <w:tr w:rsidR="006B6038" w:rsidRPr="005E2936" w:rsidTr="00524074">
              <w:trPr>
                <w:trHeight w:val="296"/>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1,5мм 1500х3000                                                                                                                                                                                                                                                                                         </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3000</w:t>
                  </w:r>
                </w:p>
              </w:tc>
            </w:tr>
            <w:tr w:rsidR="006B6038" w:rsidRPr="005E2936" w:rsidTr="00524074">
              <w:trPr>
                <w:trHeight w:val="609"/>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4</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2мм 1500х3000                                                                                                                                                                                                                                                                                         </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3000</w:t>
                  </w:r>
                </w:p>
              </w:tc>
            </w:tr>
            <w:tr w:rsidR="006B6038" w:rsidRPr="005E2936" w:rsidTr="00524074">
              <w:trPr>
                <w:trHeight w:val="561"/>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lastRenderedPageBreak/>
                    <w:t>5</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2мм 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2500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6</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3мм 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4500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7</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4мм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2500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8</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5мм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2850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9</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6мм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8мм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1500</w:t>
                  </w:r>
                </w:p>
                <w:p w:rsidR="006B6038" w:rsidRPr="005E2936" w:rsidRDefault="006B6038" w:rsidP="00524074">
                  <w:pPr>
                    <w:jc w:val="center"/>
                    <w:rPr>
                      <w:rFonts w:ascii="Times New Roman" w:hAnsi="Times New Roman" w:cs="Times New Roman"/>
                      <w:color w:val="000000"/>
                      <w:sz w:val="20"/>
                      <w:szCs w:val="20"/>
                    </w:rPr>
                  </w:pP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11</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10мм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3550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12</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12мм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1700</w:t>
                  </w:r>
                </w:p>
                <w:p w:rsidR="006B6038" w:rsidRPr="005E2936" w:rsidRDefault="006B6038" w:rsidP="00524074">
                  <w:pPr>
                    <w:jc w:val="center"/>
                    <w:rPr>
                      <w:rFonts w:ascii="Times New Roman" w:hAnsi="Times New Roman" w:cs="Times New Roman"/>
                      <w:color w:val="000000"/>
                      <w:sz w:val="20"/>
                      <w:szCs w:val="20"/>
                    </w:rPr>
                  </w:pP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13</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16мм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1140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14</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20мм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710</w:t>
                  </w:r>
                </w:p>
              </w:tc>
            </w:tr>
            <w:tr w:rsidR="006B6038" w:rsidRPr="005E2936" w:rsidTr="00524074">
              <w:trPr>
                <w:trHeight w:val="296"/>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25мм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1770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16</w:t>
                  </w:r>
                </w:p>
              </w:tc>
              <w:tc>
                <w:tcPr>
                  <w:tcW w:w="2836" w:type="dxa"/>
                  <w:tcBorders>
                    <w:top w:val="nil"/>
                    <w:left w:val="nil"/>
                    <w:bottom w:val="single" w:sz="4" w:space="0" w:color="auto"/>
                    <w:right w:val="single" w:sz="4" w:space="0" w:color="auto"/>
                  </w:tcBorders>
                  <w:vAlign w:val="center"/>
                </w:tcPr>
                <w:p w:rsidR="006B6038" w:rsidRPr="00346DBF"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 xml:space="preserve">Смуга 50х 5,0 мм                                                                                                                                                                                                                                                                                                                                                                                </w:t>
                  </w:r>
                </w:p>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6</w:t>
                  </w:r>
                  <w:r>
                    <w:rPr>
                      <w:rFonts w:ascii="Times New Roman" w:hAnsi="Times New Roman" w:cs="Times New Roman"/>
                      <w:sz w:val="20"/>
                      <w:szCs w:val="20"/>
                    </w:rPr>
                    <w:t>0х 5,0 мм</w:t>
                  </w:r>
                  <w:r w:rsidRPr="005E2936">
                    <w:rPr>
                      <w:rFonts w:ascii="Times New Roman" w:hAnsi="Times New Roman" w:cs="Times New Roman"/>
                      <w:sz w:val="20"/>
                      <w:szCs w:val="20"/>
                    </w:rPr>
                    <w:t xml:space="preserve"> 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18</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40х 4</w:t>
                  </w:r>
                  <w:r>
                    <w:rPr>
                      <w:rFonts w:ascii="Times New Roman" w:hAnsi="Times New Roman" w:cs="Times New Roman"/>
                      <w:sz w:val="20"/>
                      <w:szCs w:val="20"/>
                    </w:rPr>
                    <w:t xml:space="preserve">,0 мм </w:t>
                  </w:r>
                  <w:r w:rsidRPr="005E2936">
                    <w:rPr>
                      <w:rFonts w:ascii="Times New Roman" w:hAnsi="Times New Roman"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19</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50х 4</w:t>
                  </w:r>
                  <w:r>
                    <w:rPr>
                      <w:rFonts w:ascii="Times New Roman" w:hAnsi="Times New Roman" w:cs="Times New Roman"/>
                      <w:sz w:val="20"/>
                      <w:szCs w:val="20"/>
                    </w:rPr>
                    <w:t xml:space="preserve">,0 мм </w:t>
                  </w:r>
                  <w:r w:rsidRPr="005E2936">
                    <w:rPr>
                      <w:rFonts w:ascii="Times New Roman" w:hAnsi="Times New Roman"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5B4D05">
        <w:trPr>
          <w:trHeight w:val="645"/>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A329F0" w:rsidRPr="00A329F0" w:rsidRDefault="00A329F0" w:rsidP="00A329F0">
            <w:pPr>
              <w:widowControl w:val="0"/>
              <w:jc w:val="both"/>
              <w:rPr>
                <w:rFonts w:ascii="Times New Roman" w:eastAsia="Times New Roman" w:hAnsi="Times New Roman" w:cs="Times New Roman"/>
                <w:sz w:val="24"/>
                <w:szCs w:val="24"/>
              </w:rPr>
            </w:pPr>
            <w:r w:rsidRPr="00A329F0">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30.06.2024 року (включно)</w:t>
            </w:r>
          </w:p>
          <w:p w:rsidR="00FA3BC2" w:rsidRDefault="00A329F0" w:rsidP="00A329F0">
            <w:pPr>
              <w:widowControl w:val="0"/>
              <w:jc w:val="both"/>
              <w:rPr>
                <w:rFonts w:ascii="Times New Roman" w:eastAsia="Times New Roman" w:hAnsi="Times New Roman" w:cs="Times New Roman"/>
                <w:sz w:val="24"/>
                <w:szCs w:val="24"/>
                <w:highlight w:val="cyan"/>
              </w:rPr>
            </w:pPr>
            <w:r w:rsidRPr="00A329F0">
              <w:rPr>
                <w:rFonts w:ascii="Times New Roman" w:eastAsia="Times New Roman" w:hAnsi="Times New Roman" w:cs="Times New Roman"/>
                <w:sz w:val="24"/>
                <w:szCs w:val="24"/>
              </w:rPr>
              <w:t>Строк поставки Товару 2 (два) календарні дні з дня отримання письмової заявки від Замовника.</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5B4D05">
        <w:trPr>
          <w:trHeight w:val="501"/>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F64DEC">
        <w:trPr>
          <w:trHeight w:val="11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Pr>
                <w:rFonts w:ascii="Times New Roman" w:eastAsia="Times New Roman" w:hAnsi="Times New Roman" w:cs="Times New Roman"/>
                <w:sz w:val="24"/>
                <w:szCs w:val="24"/>
                <w:highlight w:val="white"/>
              </w:rPr>
              <w:lastRenderedPageBreak/>
              <w:t xml:space="preserve">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5B4D05">
        <w:trPr>
          <w:trHeight w:val="480"/>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Pr>
                <w:rFonts w:ascii="Times New Roman" w:eastAsia="Times New Roman" w:hAnsi="Times New Roman" w:cs="Times New Roman"/>
                <w:sz w:val="24"/>
                <w:szCs w:val="24"/>
              </w:rPr>
              <w:lastRenderedPageBreak/>
              <w:t>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Pr>
                <w:rFonts w:ascii="Times New Roman" w:eastAsia="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5B4D05">
        <w:trPr>
          <w:trHeight w:val="9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F64DEC" w:rsidRPr="00F64DEC" w:rsidRDefault="00F64DEC" w:rsidP="00F64DEC">
            <w:pPr>
              <w:spacing w:before="150" w:after="150"/>
              <w:jc w:val="both"/>
              <w:rPr>
                <w:rFonts w:ascii="Times New Roman" w:eastAsia="Times New Roman" w:hAnsi="Times New Roman" w:cs="Times New Roman"/>
                <w:b/>
                <w:color w:val="000000"/>
                <w:sz w:val="24"/>
                <w:szCs w:val="24"/>
                <w:u w:val="single"/>
              </w:rPr>
            </w:pPr>
            <w:r w:rsidRPr="00F64DEC">
              <w:rPr>
                <w:rFonts w:ascii="Times New Roman" w:eastAsia="Times New Roman" w:hAnsi="Times New Roman" w:cs="Times New Roman"/>
                <w:b/>
                <w:color w:val="000000"/>
                <w:sz w:val="24"/>
                <w:szCs w:val="24"/>
                <w:u w:val="single"/>
              </w:rPr>
              <w:t>Вимагається</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Розмір забезпечення тендерної пропозиції: </w:t>
            </w:r>
            <w:r w:rsidRPr="00F64DEC">
              <w:rPr>
                <w:rFonts w:ascii="Times New Roman" w:eastAsia="Times New Roman" w:hAnsi="Times New Roman" w:cs="SimSun"/>
                <w:b/>
                <w:sz w:val="24"/>
                <w:szCs w:val="24"/>
                <w:lang w:eastAsia="uk-UA"/>
              </w:rPr>
              <w:t>66 000,00 грн.</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Вид забезпечення тендерної пропозиції: електронна банківська гарантія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Умови надання забезпечення тендерної пропозиції: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Pr="00F64DEC">
              <w:rPr>
                <w:rFonts w:ascii="Times New Roman" w:eastAsia="Times New Roman" w:hAnsi="Times New Roman" w:cs="SimSun"/>
                <w:sz w:val="24"/>
                <w:szCs w:val="24"/>
                <w:lang w:eastAsia="uk-UA"/>
              </w:rPr>
              <w:lastRenderedPageBreak/>
              <w:t xml:space="preserve">Вимоги), а саме: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3. Реквізити гарантії, визначені у Формі, є обов'язковими для складання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У реквізитах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щодо повного найменування гаранта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код банку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поштова адреса для листування;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електронної пошти гаранта, на яку отримуються документи;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SWIFT-адреса гаранта;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щодо повного найменування принципала, яким є учасник процедури закупівлі,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 для юридичної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прізвище, ім'я та по батькові (у разі наявності) - для фізичної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реєстраційний номер облікової картки платника податків - для принципала фізичної особи - резидента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lastRenderedPageBreak/>
              <w:t xml:space="preserve">3) щодо повного найменування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яким є замовник,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сума гарантії зазначається цифрами і словами, назва валюти - словами;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6) датою початку строку дії гарантії зазначається дата видачі гарантії або дата набрання нею чинності;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7) зазначається дата закінчення строку дії гарантії, якщо жодна з подій, передбачених у пункті 4 форми, не настане;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F64DEC">
              <w:rPr>
                <w:rFonts w:ascii="Times New Roman" w:eastAsia="Times New Roman" w:hAnsi="Times New Roman" w:cs="SimSun"/>
                <w:sz w:val="24"/>
                <w:szCs w:val="24"/>
                <w:lang w:eastAsia="uk-UA"/>
              </w:rPr>
              <w:t>вебсайта</w:t>
            </w:r>
            <w:proofErr w:type="spellEnd"/>
            <w:r w:rsidRPr="00F64DEC">
              <w:rPr>
                <w:rFonts w:ascii="Times New Roman" w:eastAsia="Times New Roman" w:hAnsi="Times New Roman" w:cs="SimSun"/>
                <w:sz w:val="24"/>
                <w:szCs w:val="24"/>
                <w:lang w:eastAsia="uk-UA"/>
              </w:rPr>
              <w:t xml:space="preserve"> інформаційно-телекомунікаційної системи «PROZORRO»;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9) в інформації щодо тендерної документації зазначаються: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дата рішення замовника, яким затверджена тендерна документація;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10) строк сплати коштів за гарантією зазначається в робочих або банківських днях;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Гарантія та договір, який укладається між гарантом та принципалом, не може містити додаткових умов щодо: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третіми особами листів або документів, що підтверджують факт настання гарантійного випадку;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можливості часткової сплати суми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6. Гарантія, яка складається на паперовому носії, підписується уповноваженою(</w:t>
            </w:r>
            <w:proofErr w:type="spellStart"/>
            <w:r w:rsidRPr="00F64DEC">
              <w:rPr>
                <w:rFonts w:ascii="Times New Roman" w:eastAsia="Times New Roman" w:hAnsi="Times New Roman" w:cs="SimSun"/>
                <w:sz w:val="24"/>
                <w:szCs w:val="24"/>
                <w:lang w:eastAsia="uk-UA"/>
              </w:rPr>
              <w:t>ими</w:t>
            </w:r>
            <w:proofErr w:type="spellEnd"/>
            <w:r w:rsidRPr="00F64DEC">
              <w:rPr>
                <w:rFonts w:ascii="Times New Roman" w:eastAsia="Times New Roman" w:hAnsi="Times New Roman" w:cs="SimSun"/>
                <w:sz w:val="24"/>
                <w:szCs w:val="24"/>
                <w:lang w:eastAsia="uk-UA"/>
              </w:rPr>
              <w:t>) особою(</w:t>
            </w:r>
            <w:proofErr w:type="spellStart"/>
            <w:r w:rsidRPr="00F64DEC">
              <w:rPr>
                <w:rFonts w:ascii="Times New Roman" w:eastAsia="Times New Roman" w:hAnsi="Times New Roman" w:cs="SimSun"/>
                <w:sz w:val="24"/>
                <w:szCs w:val="24"/>
                <w:lang w:eastAsia="uk-UA"/>
              </w:rPr>
              <w:t>ами</w:t>
            </w:r>
            <w:proofErr w:type="spellEnd"/>
            <w:r w:rsidRPr="00F64DEC">
              <w:rPr>
                <w:rFonts w:ascii="Times New Roman" w:eastAsia="Times New Roman" w:hAnsi="Times New Roman" w:cs="SimSun"/>
                <w:sz w:val="24"/>
                <w:szCs w:val="24"/>
                <w:lang w:eastAsia="uk-UA"/>
              </w:rPr>
              <w:t xml:space="preserve">) гаранта та скріплюється </w:t>
            </w:r>
            <w:r w:rsidRPr="00F64DEC">
              <w:rPr>
                <w:rFonts w:ascii="Times New Roman" w:eastAsia="Times New Roman" w:hAnsi="Times New Roman" w:cs="SimSun"/>
                <w:sz w:val="24"/>
                <w:szCs w:val="24"/>
                <w:lang w:eastAsia="uk-UA"/>
              </w:rPr>
              <w:lastRenderedPageBreak/>
              <w:t xml:space="preserve">печатками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7. Гарантія, яка надається в електронній формі, підписується шляхом накладання кваліфікованого(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електронного(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та кваліфікованої електронної печатки (у разі наявності), що прирівняні до власноручного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уповноваженої(</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особи(</w:t>
            </w:r>
            <w:proofErr w:type="spellStart"/>
            <w:r w:rsidRPr="00F64DEC">
              <w:rPr>
                <w:rFonts w:ascii="Times New Roman" w:eastAsia="Times New Roman" w:hAnsi="Times New Roman" w:cs="SimSun"/>
                <w:sz w:val="24"/>
                <w:szCs w:val="24"/>
                <w:lang w:eastAsia="uk-UA"/>
              </w:rPr>
              <w:t>іб</w:t>
            </w:r>
            <w:proofErr w:type="spellEnd"/>
            <w:r w:rsidRPr="00F64DEC">
              <w:rPr>
                <w:rFonts w:ascii="Times New Roman" w:eastAsia="Times New Roman" w:hAnsi="Times New Roman" w:cs="SimSun"/>
                <w:sz w:val="24"/>
                <w:szCs w:val="24"/>
                <w:lang w:eastAsia="uk-UA"/>
              </w:rPr>
              <w:t xml:space="preserve">) гаранта та його печатки відповідно.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Під терміном «категорія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Під терміном «категорія гаранта» мається на увазі різновид фінансової установи, що видала гарантію, а саме: банк.</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9. Назва Замовника: Комунальне підприємство «</w:t>
            </w:r>
            <w:proofErr w:type="spellStart"/>
            <w:r w:rsidRPr="00F64DEC">
              <w:rPr>
                <w:rFonts w:ascii="Times New Roman" w:eastAsia="Times New Roman" w:hAnsi="Times New Roman" w:cs="SimSun"/>
                <w:sz w:val="24"/>
                <w:szCs w:val="24"/>
                <w:lang w:eastAsia="uk-UA"/>
              </w:rPr>
              <w:t>Одесміськелектротранс</w:t>
            </w:r>
            <w:proofErr w:type="spellEnd"/>
            <w:r w:rsidRPr="00F64DEC">
              <w:rPr>
                <w:rFonts w:ascii="Times New Roman" w:eastAsia="Times New Roman" w:hAnsi="Times New Roman" w:cs="SimSun"/>
                <w:sz w:val="24"/>
                <w:szCs w:val="24"/>
                <w:lang w:eastAsia="uk-UA"/>
              </w:rPr>
              <w:t>»</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Місцезнаходження Замовника: 65007, м. Одеса, вул. Водопровідна,1</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Код ЄДРПОУ: 03328497</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АБ «УКРГАЗБАНК»,  МФО 320478, SWIFT UGASUAUK, код ЄДРПОУ 23697280, м. О</w:t>
            </w:r>
            <w:r w:rsidR="00193EE1">
              <w:rPr>
                <w:rFonts w:ascii="Times New Roman" w:eastAsia="Times New Roman" w:hAnsi="Times New Roman" w:cs="SimSun"/>
                <w:sz w:val="24"/>
                <w:szCs w:val="24"/>
                <w:lang w:eastAsia="uk-UA"/>
              </w:rPr>
              <w:t>деса, вул. Пушкінська, 7, 65026</w:t>
            </w:r>
            <w:r w:rsidRPr="00F64DEC">
              <w:rPr>
                <w:rFonts w:ascii="Times New Roman" w:eastAsia="Times New Roman" w:hAnsi="Times New Roman" w:cs="SimSun"/>
                <w:sz w:val="24"/>
                <w:szCs w:val="24"/>
                <w:lang w:eastAsia="uk-UA"/>
              </w:rPr>
              <w:t>.</w:t>
            </w:r>
          </w:p>
          <w:p w:rsidR="00466315" w:rsidRPr="003128B8" w:rsidRDefault="00466315" w:rsidP="00CD1E65">
            <w:pPr>
              <w:spacing w:before="150" w:after="150"/>
              <w:jc w:val="both"/>
              <w:rPr>
                <w:rFonts w:ascii="Times New Roman" w:eastAsia="Times New Roman" w:hAnsi="Times New Roman"/>
                <w:sz w:val="24"/>
                <w:szCs w:val="24"/>
              </w:rPr>
            </w:pPr>
          </w:p>
        </w:tc>
      </w:tr>
      <w:tr w:rsidR="00466315" w:rsidTr="005B4D05">
        <w:trPr>
          <w:trHeight w:val="55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повертається учаснику у разі:</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відкликання тендерної пропозиції до закінчення строку її подання;</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не повертається у разі:</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 xml:space="preserve">відкликання тендерної пропозиції учасником після </w:t>
            </w:r>
            <w:r>
              <w:rPr>
                <w:rFonts w:ascii="Times New Roman" w:eastAsia="Times New Roman" w:hAnsi="Times New Roman"/>
                <w:sz w:val="24"/>
                <w:szCs w:val="24"/>
              </w:rPr>
              <w:lastRenderedPageBreak/>
              <w:t>закінчення строку її подання, але до того, як сплив строк, протягом якого тендерні пропозиції вважаються дійсними;</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який став переможцем тендеру;</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A946BD" w:rsidRDefault="00A946BD" w:rsidP="00A946BD">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Pr="00294848" w:rsidRDefault="00A946BD" w:rsidP="00A946BD">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5B4D05">
        <w:trPr>
          <w:trHeight w:val="56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5B4D05">
        <w:trPr>
          <w:trHeight w:val="841"/>
          <w:jc w:val="center"/>
        </w:trPr>
        <w:tc>
          <w:tcPr>
            <w:tcW w:w="686"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sidR="00DE1202">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rsidTr="005B4D05">
        <w:trPr>
          <w:trHeight w:val="44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FA7FE6">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193EE1">
              <w:rPr>
                <w:rFonts w:ascii="Times New Roman" w:eastAsia="Times New Roman" w:hAnsi="Times New Roman"/>
                <w:b/>
                <w:sz w:val="24"/>
                <w:szCs w:val="24"/>
              </w:rPr>
              <w:t>: 20</w:t>
            </w:r>
            <w:bookmarkStart w:id="5" w:name="_GoBack"/>
            <w:bookmarkEnd w:id="5"/>
            <w:r w:rsidR="00246C24">
              <w:rPr>
                <w:rFonts w:ascii="Times New Roman" w:eastAsia="Times New Roman" w:hAnsi="Times New Roman"/>
                <w:b/>
                <w:sz w:val="24"/>
                <w:szCs w:val="24"/>
              </w:rPr>
              <w:t xml:space="preserve"> березня</w:t>
            </w:r>
            <w:r w:rsidR="00DE1202"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rsidTr="005B4D05">
        <w:trPr>
          <w:trHeight w:val="51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72513E">
              <w:rPr>
                <w:rFonts w:ascii="Times New Roman" w:eastAsia="Times New Roman" w:hAnsi="Times New Roman" w:cs="Times New Roman"/>
                <w:color w:val="000000" w:themeColor="text1"/>
                <w:sz w:val="24"/>
                <w:szCs w:val="24"/>
                <w:highlight w:val="white"/>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72513E">
              <w:rPr>
                <w:rFonts w:ascii="Times New Roman" w:eastAsia="Times New Roman" w:hAnsi="Times New Roman" w:cs="Times New Roman"/>
                <w:color w:val="000000" w:themeColor="text1"/>
                <w:sz w:val="24"/>
                <w:szCs w:val="24"/>
                <w:highlight w:val="white"/>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w:t>
            </w:r>
            <w:r>
              <w:rPr>
                <w:rFonts w:ascii="Times New Roman" w:eastAsia="Times New Roman" w:hAnsi="Times New Roman" w:cs="Times New Roman"/>
                <w:sz w:val="24"/>
                <w:szCs w:val="24"/>
                <w:highlight w:val="white"/>
              </w:rPr>
              <w:lastRenderedPageBreak/>
              <w:t xml:space="preserve">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3C3B" w:rsidRDefault="000B3C3B"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3C3B" w:rsidRPr="008A4EEA" w:rsidRDefault="000B3C3B"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0B3C3B" w:rsidRPr="008A4EEA" w:rsidRDefault="000B3C3B"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466315" w:rsidRDefault="000B3C3B"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0B12" w:rsidRDefault="00B00B12"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sidR="006B5F20">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000041ED">
              <w:rPr>
                <w:rFonts w:ascii="Times New Roman" w:eastAsia="Times New Roman" w:hAnsi="Times New Roman" w:cs="Times New Roman"/>
                <w:color w:val="000000" w:themeColor="text1"/>
                <w:sz w:val="24"/>
                <w:szCs w:val="24"/>
              </w:rPr>
              <w:t>/</w:t>
            </w:r>
            <w:r w:rsidR="000041ED" w:rsidRPr="008A4EEA">
              <w:rPr>
                <w:rFonts w:ascii="Times New Roman" w:eastAsia="Times New Roman" w:hAnsi="Times New Roman" w:cs="Times New Roman"/>
                <w:color w:val="000000" w:themeColor="text1"/>
                <w:sz w:val="24"/>
                <w:szCs w:val="24"/>
              </w:rPr>
              <w:t xml:space="preserve"> Ісламської Респу</w:t>
            </w:r>
            <w:r w:rsidR="000041ED">
              <w:rPr>
                <w:rFonts w:ascii="Times New Roman" w:eastAsia="Times New Roman" w:hAnsi="Times New Roman" w:cs="Times New Roman"/>
                <w:color w:val="000000" w:themeColor="text1"/>
                <w:sz w:val="24"/>
                <w:szCs w:val="24"/>
              </w:rPr>
              <w:t>бліки Іран</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w:t>
            </w:r>
            <w:r w:rsidR="00FE1C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w:t>
            </w:r>
            <w:r>
              <w:rPr>
                <w:rFonts w:ascii="Times New Roman" w:eastAsia="Times New Roman" w:hAnsi="Times New Roman" w:cs="Times New Roman"/>
                <w:color w:val="000000" w:themeColor="text1"/>
                <w:sz w:val="24"/>
                <w:szCs w:val="24"/>
              </w:rPr>
              <w:lastRenderedPageBreak/>
              <w:t xml:space="preserve">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sidR="00DD08C8">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sidR="00DD08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Pr>
                <w:rFonts w:ascii="Times New Roman" w:eastAsia="Times New Roman" w:hAnsi="Times New Roman" w:cs="Times New Roman"/>
                <w:sz w:val="24"/>
                <w:szCs w:val="24"/>
                <w:highlight w:val="white"/>
              </w:rPr>
              <w:lastRenderedPageBreak/>
              <w:t>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rsidTr="005B4D05">
        <w:trPr>
          <w:trHeight w:val="47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5B4D05">
        <w:trPr>
          <w:trHeight w:val="210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1F4533">
              <w:rPr>
                <w:rFonts w:ascii="Times New Roman" w:eastAsia="Times New Roman" w:hAnsi="Times New Roman" w:cs="Times New Roman"/>
                <w:color w:val="000000" w:themeColor="text1"/>
                <w:sz w:val="24"/>
                <w:szCs w:val="24"/>
              </w:rPr>
              <w:t>2</w:t>
            </w:r>
            <w:r w:rsidR="002765C0">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1F4533">
              <w:rPr>
                <w:rFonts w:ascii="Times New Roman" w:eastAsia="Times New Roman" w:hAnsi="Times New Roman" w:cs="Times New Roman"/>
                <w:color w:val="000000"/>
                <w:sz w:val="24"/>
                <w:szCs w:val="24"/>
              </w:rPr>
              <w:t>2</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w:t>
            </w:r>
            <w:r>
              <w:rPr>
                <w:rFonts w:ascii="Times New Roman" w:eastAsia="Times New Roman" w:hAnsi="Times New Roman" w:cs="Times New Roman"/>
                <w:color w:val="000000"/>
                <w:sz w:val="24"/>
                <w:szCs w:val="24"/>
              </w:rPr>
              <w:lastRenderedPageBreak/>
              <w:t>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4180E"/>
    <w:rsid w:val="0008187F"/>
    <w:rsid w:val="000973C6"/>
    <w:rsid w:val="000A504E"/>
    <w:rsid w:val="000B3C3B"/>
    <w:rsid w:val="000F051F"/>
    <w:rsid w:val="000F138D"/>
    <w:rsid w:val="00151693"/>
    <w:rsid w:val="0016007E"/>
    <w:rsid w:val="001751EB"/>
    <w:rsid w:val="00180A03"/>
    <w:rsid w:val="00185322"/>
    <w:rsid w:val="00190EAD"/>
    <w:rsid w:val="00193EE1"/>
    <w:rsid w:val="00195E7C"/>
    <w:rsid w:val="001B1080"/>
    <w:rsid w:val="001D64BE"/>
    <w:rsid w:val="001F4533"/>
    <w:rsid w:val="0022150D"/>
    <w:rsid w:val="00223120"/>
    <w:rsid w:val="00236A00"/>
    <w:rsid w:val="00246C24"/>
    <w:rsid w:val="0025024A"/>
    <w:rsid w:val="00251D62"/>
    <w:rsid w:val="002615F1"/>
    <w:rsid w:val="00263EC4"/>
    <w:rsid w:val="00273082"/>
    <w:rsid w:val="002765C0"/>
    <w:rsid w:val="00293195"/>
    <w:rsid w:val="00294848"/>
    <w:rsid w:val="002B6D4A"/>
    <w:rsid w:val="002D09CD"/>
    <w:rsid w:val="002F700F"/>
    <w:rsid w:val="003128B8"/>
    <w:rsid w:val="003313CE"/>
    <w:rsid w:val="00333324"/>
    <w:rsid w:val="0039394C"/>
    <w:rsid w:val="00396502"/>
    <w:rsid w:val="003A6519"/>
    <w:rsid w:val="003B0BDE"/>
    <w:rsid w:val="003B0BE7"/>
    <w:rsid w:val="003B25B7"/>
    <w:rsid w:val="003B2C5F"/>
    <w:rsid w:val="003C3C2E"/>
    <w:rsid w:val="003D391F"/>
    <w:rsid w:val="003E1AC8"/>
    <w:rsid w:val="003E3E86"/>
    <w:rsid w:val="00407598"/>
    <w:rsid w:val="004360D0"/>
    <w:rsid w:val="0044206E"/>
    <w:rsid w:val="004425AF"/>
    <w:rsid w:val="00465649"/>
    <w:rsid w:val="00466315"/>
    <w:rsid w:val="004666B1"/>
    <w:rsid w:val="00472E13"/>
    <w:rsid w:val="004734AF"/>
    <w:rsid w:val="00490731"/>
    <w:rsid w:val="004A5A7E"/>
    <w:rsid w:val="004C143C"/>
    <w:rsid w:val="005003C1"/>
    <w:rsid w:val="00510665"/>
    <w:rsid w:val="00560241"/>
    <w:rsid w:val="005859E3"/>
    <w:rsid w:val="005A3275"/>
    <w:rsid w:val="005A4465"/>
    <w:rsid w:val="005A467B"/>
    <w:rsid w:val="005A5B30"/>
    <w:rsid w:val="005B2F5A"/>
    <w:rsid w:val="005B4D05"/>
    <w:rsid w:val="005D4593"/>
    <w:rsid w:val="005E144E"/>
    <w:rsid w:val="005F4744"/>
    <w:rsid w:val="006177E9"/>
    <w:rsid w:val="006220D4"/>
    <w:rsid w:val="00645586"/>
    <w:rsid w:val="00661610"/>
    <w:rsid w:val="006648BB"/>
    <w:rsid w:val="0069531D"/>
    <w:rsid w:val="006B2850"/>
    <w:rsid w:val="006B2DF9"/>
    <w:rsid w:val="006B5F20"/>
    <w:rsid w:val="006B6038"/>
    <w:rsid w:val="006B7D89"/>
    <w:rsid w:val="00710C1E"/>
    <w:rsid w:val="0072513E"/>
    <w:rsid w:val="007272A8"/>
    <w:rsid w:val="0074046A"/>
    <w:rsid w:val="0076621C"/>
    <w:rsid w:val="0078659A"/>
    <w:rsid w:val="00791685"/>
    <w:rsid w:val="00796BA4"/>
    <w:rsid w:val="007A3420"/>
    <w:rsid w:val="007D67F1"/>
    <w:rsid w:val="007F6ED3"/>
    <w:rsid w:val="008411FB"/>
    <w:rsid w:val="00846940"/>
    <w:rsid w:val="00853048"/>
    <w:rsid w:val="00857820"/>
    <w:rsid w:val="0086651C"/>
    <w:rsid w:val="008766F8"/>
    <w:rsid w:val="00891712"/>
    <w:rsid w:val="00891F3B"/>
    <w:rsid w:val="00897356"/>
    <w:rsid w:val="008D2C4C"/>
    <w:rsid w:val="008E3414"/>
    <w:rsid w:val="008E7258"/>
    <w:rsid w:val="008F0B1B"/>
    <w:rsid w:val="00927D91"/>
    <w:rsid w:val="00946CE3"/>
    <w:rsid w:val="009562C1"/>
    <w:rsid w:val="00961BB2"/>
    <w:rsid w:val="00973E01"/>
    <w:rsid w:val="009913DB"/>
    <w:rsid w:val="009E3323"/>
    <w:rsid w:val="009F5D81"/>
    <w:rsid w:val="00A1445C"/>
    <w:rsid w:val="00A31962"/>
    <w:rsid w:val="00A329F0"/>
    <w:rsid w:val="00A35C70"/>
    <w:rsid w:val="00A71ED7"/>
    <w:rsid w:val="00A759AB"/>
    <w:rsid w:val="00A84FE4"/>
    <w:rsid w:val="00A875EB"/>
    <w:rsid w:val="00A92320"/>
    <w:rsid w:val="00A946BD"/>
    <w:rsid w:val="00AB2D60"/>
    <w:rsid w:val="00AB5F41"/>
    <w:rsid w:val="00AD6A10"/>
    <w:rsid w:val="00B00B12"/>
    <w:rsid w:val="00B075B9"/>
    <w:rsid w:val="00B26F63"/>
    <w:rsid w:val="00B44E8A"/>
    <w:rsid w:val="00B71198"/>
    <w:rsid w:val="00B72D05"/>
    <w:rsid w:val="00BF1267"/>
    <w:rsid w:val="00C23FBD"/>
    <w:rsid w:val="00C454B4"/>
    <w:rsid w:val="00C66B23"/>
    <w:rsid w:val="00C74FD5"/>
    <w:rsid w:val="00CB3CCA"/>
    <w:rsid w:val="00CB5163"/>
    <w:rsid w:val="00CB732C"/>
    <w:rsid w:val="00CC77D2"/>
    <w:rsid w:val="00CD1E65"/>
    <w:rsid w:val="00CF0F3D"/>
    <w:rsid w:val="00D307AF"/>
    <w:rsid w:val="00D42B38"/>
    <w:rsid w:val="00D43AA7"/>
    <w:rsid w:val="00D46469"/>
    <w:rsid w:val="00D52A1A"/>
    <w:rsid w:val="00D74371"/>
    <w:rsid w:val="00D82D37"/>
    <w:rsid w:val="00DB4C9C"/>
    <w:rsid w:val="00DC7F9B"/>
    <w:rsid w:val="00DD08C8"/>
    <w:rsid w:val="00DD221E"/>
    <w:rsid w:val="00DE1202"/>
    <w:rsid w:val="00DF3920"/>
    <w:rsid w:val="00E409E8"/>
    <w:rsid w:val="00E50201"/>
    <w:rsid w:val="00E57D00"/>
    <w:rsid w:val="00E63098"/>
    <w:rsid w:val="00E7667F"/>
    <w:rsid w:val="00EC5068"/>
    <w:rsid w:val="00EC6FE5"/>
    <w:rsid w:val="00F03A5B"/>
    <w:rsid w:val="00F04CD0"/>
    <w:rsid w:val="00F27EE2"/>
    <w:rsid w:val="00F37BC2"/>
    <w:rsid w:val="00F54D31"/>
    <w:rsid w:val="00F64DEC"/>
    <w:rsid w:val="00F74A40"/>
    <w:rsid w:val="00F760EA"/>
    <w:rsid w:val="00F87449"/>
    <w:rsid w:val="00FA1DD1"/>
    <w:rsid w:val="00FA3BC2"/>
    <w:rsid w:val="00FA7FE6"/>
    <w:rsid w:val="00FB4D7D"/>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073744528">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28</Pages>
  <Words>43761</Words>
  <Characters>24945</Characters>
  <Application>Microsoft Office Word</Application>
  <DocSecurity>0</DocSecurity>
  <Lines>207</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189</cp:revision>
  <cp:lastPrinted>2023-06-29T11:46:00Z</cp:lastPrinted>
  <dcterms:created xsi:type="dcterms:W3CDTF">2020-04-14T07:28:00Z</dcterms:created>
  <dcterms:modified xsi:type="dcterms:W3CDTF">2024-03-14T07:57:00Z</dcterms:modified>
</cp:coreProperties>
</file>